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rPr>
          <w:rFonts w:ascii="Arial" w:cs="Arial" w:eastAsia="Arial" w:hAnsi="Arial"/>
          <w:b/>
          <w:bCs/>
          <w:caps/>
          <w:color w:val="2563A8"/>
          <w:sz w:val="18"/>
          <w:szCs w:val="18"/>
        </w:rPr>
        <w:t xml:space="preserve">SECTION 3  ·  ISO 27001 IMPLEMENTATION PROCESS</w:t>
      </w:r>
    </w:p>
    <w:p>
      <w:pPr>
        <w:spacing w:after="80"/>
      </w:pPr>
      <w:r>
        <w:rPr>
          <w:rFonts w:ascii="Arial" w:cs="Arial" w:eastAsia="Arial" w:hAnsi="Arial"/>
          <w:b/>
          <w:bCs/>
          <w:caps/>
          <w:color w:val="4B5563"/>
          <w:sz w:val="18"/>
          <w:szCs w:val="18"/>
        </w:rPr>
        <w:t xml:space="preserve">ARTICLE 3.1  ·  GETTING STARTED: PROJECT PLANNING AND SCOPING</w:t>
      </w:r>
    </w:p>
    <w:p>
      <w:pPr>
        <w:pStyle w:val="Heading1"/>
        <w:spacing w:after="120"/>
      </w:pPr>
      <w:r>
        <w:rPr>
          <w:rFonts w:ascii="Arial" w:cs="Arial" w:eastAsia="Arial" w:hAnsi="Arial"/>
          <w:b/>
          <w:bCs/>
          <w:color w:val="1B3A5C"/>
          <w:sz w:val="44"/>
          <w:szCs w:val="44"/>
        </w:rPr>
        <w:t xml:space="preserve">Getting Started: Project Planning and Scoping</w:t>
      </w:r>
    </w:p>
    <w:p>
      <w:pPr>
        <w:spacing w:after="60"/>
      </w:pPr>
      <w:r>
        <w:rPr>
          <w:rFonts w:ascii="Georgia" w:cs="Georgia" w:eastAsia="Georgia" w:hAnsi="Georgia"/>
          <w:i/>
          <w:iCs/>
          <w:color w:val="4B5563"/>
          <w:sz w:val="24"/>
          <w:szCs w:val="24"/>
        </w:rPr>
        <w:t xml:space="preserve">A practitioner's guide to launching an ISO 27001 implementation — securing the mandate, assembling the right team, defining a scope that is both defensible and achievable, building a realistic project plan, and establishing the governance structures that keep the program on track from week one to certification.</w:t>
      </w:r>
    </w:p>
    <w:p>
      <w:pPr>
        <w:spacing w:after="40"/>
      </w:pPr>
      <w:r>
        <w:rPr>
          <w:rFonts w:ascii="Arial" w:cs="Arial" w:eastAsia="Arial" w:hAnsi="Arial"/>
          <w:color w:val="9CA3AF"/>
          <w:sz w:val="18"/>
          <w:szCs w:val="18"/>
        </w:rPr>
        <w:t xml:space="preserve">Bitlion GRC Documentation  ·  Updated March 2026  ·  Reading time: ~18 minutes</w:t>
      </w:r>
    </w:p>
    <w:p>
      <w:pPr>
        <w:pBdr>
          <w:bottom w:val="single" w:color="D1D5DB" w:sz="2" w:space="1"/>
        </w:pBdr>
        <w:spacing w:after="200" w:before="200"/>
      </w:pPr>
      <w:r>
        <w:t xml:space="preserve"/>
      </w:r>
    </w:p>
    <w:p>
      <w:pPr>
        <w:spacing w:after="100"/>
      </w:pPr>
      <w:r>
        <w:t xml:space="preserve"/>
      </w:r>
    </w:p>
    <w:p>
      <w:pPr>
        <w:spacing w:after="160" w:line="320"/>
        <w:jc w:val="both"/>
      </w:pPr>
      <w:r>
        <w:rPr>
          <w:rFonts w:ascii="Georgia" w:cs="Georgia" w:eastAsia="Georgia" w:hAnsi="Georgia"/>
          <w:color w:val="111827"/>
          <w:sz w:val="22"/>
          <w:szCs w:val="22"/>
        </w:rPr>
        <w:t xml:space="preserve">Most ISO 27001 implementations that fail do not fail during the risk assessment or the controls implementation. They fail in the first four weeks — before any of that work begins. They fail because the project started without genuine executive commitment, or with a scope so ambitious that the resources allocated were never sufficient to cover it, or with a project plan that treated certification as a documentation exercise rather than a management system transformation.</w:t>
      </w:r>
    </w:p>
    <w:p>
      <w:pPr>
        <w:spacing w:after="80"/>
      </w:pPr>
      <w:r>
        <w:t xml:space="preserve"/>
      </w:r>
    </w:p>
    <w:p>
      <w:pPr>
        <w:spacing w:after="160" w:line="320"/>
        <w:jc w:val="both"/>
      </w:pPr>
      <w:r>
        <w:rPr>
          <w:rFonts w:ascii="Georgia" w:cs="Georgia" w:eastAsia="Georgia" w:hAnsi="Georgia"/>
          <w:color w:val="111827"/>
          <w:sz w:val="22"/>
          <w:szCs w:val="22"/>
        </w:rPr>
        <w:t xml:space="preserve">Getting started right is the most important investment an organization can make in its ISO 27001 journey. The decisions made in the initiation phase — about scope, about team composition, about budget, about governance — shape everything that follows. A well-initiated project has clarity, momentum, and the organizational support it needs to navigate the inevitable challenges of a twelve-month implementation program. A poorly initiated project accumulates debt from day one.</w:t>
      </w:r>
    </w:p>
    <w:p>
      <w:pPr>
        <w:spacing w:after="80"/>
      </w:pPr>
      <w:r>
        <w:t xml:space="preserve"/>
      </w:r>
    </w:p>
    <w:p>
      <w:pPr>
        <w:spacing w:after="160" w:line="320"/>
        <w:jc w:val="both"/>
      </w:pPr>
      <w:r>
        <w:rPr>
          <w:rFonts w:ascii="Georgia" w:cs="Georgia" w:eastAsia="Georgia" w:hAnsi="Georgia"/>
          <w:color w:val="111827"/>
          <w:sz w:val="22"/>
          <w:szCs w:val="22"/>
        </w:rPr>
        <w:t xml:space="preserve">This article is the practical guide for that initiation phase. It covers the full implementation roadmap, the team you need to build, the scope decisions you need to make, the budget you need to secure, and the readiness gates you need to clear before formal work begins. Section 3 of this documentation series will continue with each subsequent implementation phase in detail.</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The Five-Phase Implementation Roadmap</w:t>
      </w:r>
    </w:p>
    <w:p>
      <w:pPr>
        <w:spacing w:after="80"/>
      </w:pPr>
      <w:r>
        <w:t xml:space="preserve"/>
      </w:r>
    </w:p>
    <w:p>
      <w:pPr>
        <w:spacing w:after="160" w:line="320"/>
        <w:jc w:val="both"/>
      </w:pPr>
      <w:r>
        <w:rPr>
          <w:rFonts w:ascii="Georgia" w:cs="Georgia" w:eastAsia="Georgia" w:hAnsi="Georgia"/>
          <w:color w:val="111827"/>
          <w:sz w:val="22"/>
          <w:szCs w:val="22"/>
        </w:rPr>
        <w:t xml:space="preserve">ISO 27001 implementation from standing start to certificate typically spans 9 to 14 months for a focused-scope SME implementation, and 14 to 24 months for a larger or more complex organization. The work divides into five distinct phases, each with clear activities, dependencies, and outputs: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72"/>
        <w:gridCol w:w="1872"/>
        <w:gridCol w:w="1872"/>
        <w:gridCol w:w="1872"/>
        <w:gridCol w:w="1872"/>
      </w:tblGrid>
      <w:tr>
        <w:tc>
          <w:tcPr>
            <w:tcW w:type="dxa" w:w="1872"/>
            <w:tcBorders>
              <w:top w:val="single" w:color="DBEAFE" w:sz="1"/>
              <w:left w:val="single" w:color="DBEAFE" w:sz="1"/>
              <w:bottom w:val="single" w:color="DBEAFE" w:sz="1"/>
              <w:right w:val="single" w:color="DBEAFE" w:sz="1"/>
            </w:tcBorders>
            <w:shd w:fill="1B3A5C" w:val="clear"/>
            <w:tcMar>
              <w:top w:type="dxa" w:w="120"/>
              <w:left w:type="dxa" w:w="100"/>
              <w:bottom w:type="dxa" w:w="120"/>
              <w:right w:type="dxa" w:w="100"/>
            </w:tcMar>
          </w:tcPr>
          <w:p>
            <w:pPr>
              <w:spacing w:after="30"/>
            </w:pPr>
            <w:r>
              <w:rPr>
                <w:rFonts w:ascii="Arial" w:cs="Arial" w:eastAsia="Arial" w:hAnsi="Arial"/>
                <w:b/>
                <w:bCs/>
                <w:color w:val="FFFFFF"/>
                <w:sz w:val="26"/>
                <w:szCs w:val="26"/>
              </w:rPr>
              <w:t xml:space="preserve">01</w:t>
            </w:r>
          </w:p>
          <w:p>
            <w:pPr>
              <w:spacing w:after="40"/>
            </w:pPr>
            <w:r>
              <w:rPr>
                <w:rFonts w:ascii="Arial" w:cs="Arial" w:eastAsia="Arial" w:hAnsi="Arial"/>
                <w:b/>
                <w:bCs/>
                <w:color w:val="FFFFFF"/>
                <w:sz w:val="20"/>
                <w:szCs w:val="20"/>
              </w:rPr>
              <w:t xml:space="preserve">Initiate</w:t>
            </w:r>
          </w:p>
          <w:p>
            <w:r>
              <w:rPr>
                <w:rFonts w:ascii="Georgia" w:cs="Georgia" w:eastAsia="Georgia" w:hAnsi="Georgia"/>
                <w:i/>
                <w:iCs/>
                <w:color w:val="D1FAE5"/>
                <w:sz w:val="17"/>
                <w:szCs w:val="17"/>
              </w:rPr>
              <w:t xml:space="preserve">Secure mandate, assemble team, define scope</w:t>
            </w:r>
          </w:p>
        </w:tc>
        <w:tc>
          <w:tcPr>
            <w:tcW w:type="dxa" w:w="1872"/>
            <w:tcBorders>
              <w:top w:val="single" w:color="DBEAFE" w:sz="1"/>
              <w:left w:val="single" w:color="DBEAFE" w:sz="1"/>
              <w:bottom w:val="single" w:color="DBEAFE" w:sz="1"/>
              <w:right w:val="single" w:color="DBEAFE" w:sz="1"/>
            </w:tcBorders>
            <w:shd w:fill="2563A8" w:val="clear"/>
            <w:tcMar>
              <w:top w:type="dxa" w:w="120"/>
              <w:left w:type="dxa" w:w="100"/>
              <w:bottom w:type="dxa" w:w="120"/>
              <w:right w:type="dxa" w:w="100"/>
            </w:tcMar>
          </w:tcPr>
          <w:p>
            <w:pPr>
              <w:spacing w:after="30"/>
            </w:pPr>
            <w:r>
              <w:rPr>
                <w:rFonts w:ascii="Arial" w:cs="Arial" w:eastAsia="Arial" w:hAnsi="Arial"/>
                <w:b/>
                <w:bCs/>
                <w:color w:val="FFFFFF"/>
                <w:sz w:val="26"/>
                <w:szCs w:val="26"/>
              </w:rPr>
              <w:t xml:space="preserve">02</w:t>
            </w:r>
          </w:p>
          <w:p>
            <w:pPr>
              <w:spacing w:after="40"/>
            </w:pPr>
            <w:r>
              <w:rPr>
                <w:rFonts w:ascii="Arial" w:cs="Arial" w:eastAsia="Arial" w:hAnsi="Arial"/>
                <w:b/>
                <w:bCs/>
                <w:color w:val="FFFFFF"/>
                <w:sz w:val="20"/>
                <w:szCs w:val="20"/>
              </w:rPr>
              <w:t xml:space="preserve">Assess</w:t>
            </w:r>
          </w:p>
          <w:p>
            <w:r>
              <w:rPr>
                <w:rFonts w:ascii="Georgia" w:cs="Georgia" w:eastAsia="Georgia" w:hAnsi="Georgia"/>
                <w:i/>
                <w:iCs/>
                <w:color w:val="D1FAE5"/>
                <w:sz w:val="17"/>
                <w:szCs w:val="17"/>
              </w:rPr>
              <w:t xml:space="preserve">Gap analysis, context, risk landscape</w:t>
            </w:r>
          </w:p>
        </w:tc>
        <w:tc>
          <w:tcPr>
            <w:tcW w:type="dxa" w:w="1872"/>
            <w:tcBorders>
              <w:top w:val="single" w:color="DBEAFE" w:sz="1"/>
              <w:left w:val="single" w:color="DBEAFE" w:sz="1"/>
              <w:bottom w:val="single" w:color="DBEAFE" w:sz="1"/>
              <w:right w:val="single" w:color="DBEAFE" w:sz="1"/>
            </w:tcBorders>
            <w:shd w:fill="0F766E" w:val="clear"/>
            <w:tcMar>
              <w:top w:type="dxa" w:w="120"/>
              <w:left w:type="dxa" w:w="100"/>
              <w:bottom w:type="dxa" w:w="120"/>
              <w:right w:type="dxa" w:w="100"/>
            </w:tcMar>
          </w:tcPr>
          <w:p>
            <w:pPr>
              <w:spacing w:after="30"/>
            </w:pPr>
            <w:r>
              <w:rPr>
                <w:rFonts w:ascii="Arial" w:cs="Arial" w:eastAsia="Arial" w:hAnsi="Arial"/>
                <w:b/>
                <w:bCs/>
                <w:color w:val="FFFFFF"/>
                <w:sz w:val="26"/>
                <w:szCs w:val="26"/>
              </w:rPr>
              <w:t xml:space="preserve">03</w:t>
            </w:r>
          </w:p>
          <w:p>
            <w:pPr>
              <w:spacing w:after="40"/>
            </w:pPr>
            <w:r>
              <w:rPr>
                <w:rFonts w:ascii="Arial" w:cs="Arial" w:eastAsia="Arial" w:hAnsi="Arial"/>
                <w:b/>
                <w:bCs/>
                <w:color w:val="FFFFFF"/>
                <w:sz w:val="20"/>
                <w:szCs w:val="20"/>
              </w:rPr>
              <w:t xml:space="preserve">Build</w:t>
            </w:r>
          </w:p>
          <w:p>
            <w:r>
              <w:rPr>
                <w:rFonts w:ascii="Georgia" w:cs="Georgia" w:eastAsia="Georgia" w:hAnsi="Georgia"/>
                <w:i/>
                <w:iCs/>
                <w:color w:val="D1FAE5"/>
                <w:sz w:val="17"/>
                <w:szCs w:val="17"/>
              </w:rPr>
              <w:t xml:space="preserve">Policies, risk assessment, controls</w:t>
            </w:r>
          </w:p>
        </w:tc>
        <w:tc>
          <w:tcPr>
            <w:tcW w:type="dxa" w:w="1872"/>
            <w:tcBorders>
              <w:top w:val="single" w:color="DBEAFE" w:sz="1"/>
              <w:left w:val="single" w:color="DBEAFE" w:sz="1"/>
              <w:bottom w:val="single" w:color="DBEAFE" w:sz="1"/>
              <w:right w:val="single" w:color="DBEAFE" w:sz="1"/>
            </w:tcBorders>
            <w:shd w:fill="3730A3" w:val="clear"/>
            <w:tcMar>
              <w:top w:type="dxa" w:w="120"/>
              <w:left w:type="dxa" w:w="100"/>
              <w:bottom w:type="dxa" w:w="120"/>
              <w:right w:type="dxa" w:w="100"/>
            </w:tcMar>
          </w:tcPr>
          <w:p>
            <w:pPr>
              <w:spacing w:after="30"/>
            </w:pPr>
            <w:r>
              <w:rPr>
                <w:rFonts w:ascii="Arial" w:cs="Arial" w:eastAsia="Arial" w:hAnsi="Arial"/>
                <w:b/>
                <w:bCs/>
                <w:color w:val="FFFFFF"/>
                <w:sz w:val="26"/>
                <w:szCs w:val="26"/>
              </w:rPr>
              <w:t xml:space="preserve">04</w:t>
            </w:r>
          </w:p>
          <w:p>
            <w:pPr>
              <w:spacing w:after="40"/>
            </w:pPr>
            <w:r>
              <w:rPr>
                <w:rFonts w:ascii="Arial" w:cs="Arial" w:eastAsia="Arial" w:hAnsi="Arial"/>
                <w:b/>
                <w:bCs/>
                <w:color w:val="FFFFFF"/>
                <w:sz w:val="20"/>
                <w:szCs w:val="20"/>
              </w:rPr>
              <w:t xml:space="preserve">Implement</w:t>
            </w:r>
          </w:p>
          <w:p>
            <w:r>
              <w:rPr>
                <w:rFonts w:ascii="Georgia" w:cs="Georgia" w:eastAsia="Georgia" w:hAnsi="Georgia"/>
                <w:i/>
                <w:iCs/>
                <w:color w:val="D1FAE5"/>
                <w:sz w:val="17"/>
                <w:szCs w:val="17"/>
              </w:rPr>
              <w:t xml:space="preserve">Deploy controls, train staff, run ISMS</w:t>
            </w:r>
          </w:p>
        </w:tc>
        <w:tc>
          <w:tcPr>
            <w:tcW w:type="dxa" w:w="1872"/>
            <w:tcBorders>
              <w:top w:val="single" w:color="DBEAFE" w:sz="1"/>
              <w:left w:val="single" w:color="DBEAFE" w:sz="1"/>
              <w:bottom w:val="single" w:color="DBEAFE" w:sz="1"/>
              <w:right w:val="single" w:color="DBEAFE" w:sz="1"/>
            </w:tcBorders>
            <w:shd w:fill="0E9F6E" w:val="clear"/>
            <w:tcMar>
              <w:top w:type="dxa" w:w="120"/>
              <w:left w:type="dxa" w:w="100"/>
              <w:bottom w:type="dxa" w:w="120"/>
              <w:right w:type="dxa" w:w="100"/>
            </w:tcMar>
          </w:tcPr>
          <w:p>
            <w:pPr>
              <w:spacing w:after="30"/>
            </w:pPr>
            <w:r>
              <w:rPr>
                <w:rFonts w:ascii="Arial" w:cs="Arial" w:eastAsia="Arial" w:hAnsi="Arial"/>
                <w:b/>
                <w:bCs/>
                <w:color w:val="FFFFFF"/>
                <w:sz w:val="26"/>
                <w:szCs w:val="26"/>
              </w:rPr>
              <w:t xml:space="preserve">05</w:t>
            </w:r>
          </w:p>
          <w:p>
            <w:pPr>
              <w:spacing w:after="40"/>
            </w:pPr>
            <w:r>
              <w:rPr>
                <w:rFonts w:ascii="Arial" w:cs="Arial" w:eastAsia="Arial" w:hAnsi="Arial"/>
                <w:b/>
                <w:bCs/>
                <w:color w:val="FFFFFF"/>
                <w:sz w:val="20"/>
                <w:szCs w:val="20"/>
              </w:rPr>
              <w:t xml:space="preserve">Audit &amp; Certify</w:t>
            </w:r>
          </w:p>
          <w:p>
            <w:r>
              <w:rPr>
                <w:rFonts w:ascii="Georgia" w:cs="Georgia" w:eastAsia="Georgia" w:hAnsi="Georgia"/>
                <w:i/>
                <w:iCs/>
                <w:color w:val="D1FAE5"/>
                <w:sz w:val="17"/>
                <w:szCs w:val="17"/>
              </w:rPr>
              <w:t xml:space="preserve">Internal audit, Stage 1 &amp; 2 external audit</w:t>
            </w:r>
          </w:p>
        </w:tc>
      </w:tr>
    </w:tbl>
    <w:p>
      <w:pPr>
        <w:spacing w:after="160"/>
      </w:pPr>
      <w:r>
        <w:t xml:space="preserve"/>
      </w:r>
    </w:p>
    <w:p>
      <w:pPr>
        <w:spacing w:after="160" w:line="320"/>
        <w:jc w:val="both"/>
      </w:pPr>
      <w:r>
        <w:rPr>
          <w:rFonts w:ascii="Georgia" w:cs="Georgia" w:eastAsia="Georgia" w:hAnsi="Georgia"/>
          <w:color w:val="111827"/>
          <w:sz w:val="22"/>
          <w:szCs w:val="22"/>
        </w:rPr>
        <w:t xml:space="preserve">This article focuses on Phase 1 — Initiate — and the scope definition work that bridges Phase 1 and Phase 2. Subsequent articles in this section cover each remaining phase in equivalent depth: gap assessment (Article 3.2), building the ISMS framework (Article 3.3), risk assessment methodology (Article 3.4), control selection and implementation (Article 3.5), policy development (Article 3.6), awareness training (Article 3.7), and internal audit preparation (Article 3.8).</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Before Anything Else: Securing the Mandate</w:t>
      </w:r>
    </w:p>
    <w:p>
      <w:pPr>
        <w:spacing w:after="80"/>
      </w:pPr>
      <w:r>
        <w:t xml:space="preserve"/>
      </w:r>
    </w:p>
    <w:p>
      <w:pPr>
        <w:spacing w:after="160" w:line="320"/>
        <w:jc w:val="both"/>
      </w:pPr>
      <w:r>
        <w:rPr>
          <w:rFonts w:ascii="Georgia" w:cs="Georgia" w:eastAsia="Georgia" w:hAnsi="Georgia"/>
          <w:color w:val="111827"/>
          <w:sz w:val="22"/>
          <w:szCs w:val="22"/>
        </w:rPr>
        <w:t xml:space="preserve">The first task in any ISO 27001 implementation is not writing a project plan or buying a GRC platform. It is securing a genuine, documented executive mandate for the program. This sounds obvious, but it is the single most common reason implementations stall.</w:t>
      </w:r>
    </w:p>
    <w:p>
      <w:pPr>
        <w:spacing w:after="80"/>
      </w:pPr>
      <w:r>
        <w:t xml:space="preserve"/>
      </w:r>
    </w:p>
    <w:p>
      <w:pPr>
        <w:spacing w:after="160" w:line="320"/>
        <w:jc w:val="both"/>
      </w:pPr>
      <w:r>
        <w:rPr>
          <w:rFonts w:ascii="Georgia" w:cs="Georgia" w:eastAsia="Georgia" w:hAnsi="Georgia"/>
          <w:color w:val="111827"/>
          <w:sz w:val="22"/>
          <w:szCs w:val="22"/>
        </w:rPr>
        <w:t xml:space="preserve">A genuine mandate has three components. First, explicit authorization from the CEO or equivalent — not just awareness, but active approval of the ISMS project as a business priority. Second, resource commitment — named budget allocation and protected staff time, not vague promises of support when the project team needs it. Third, visible sponsorship — the executive sponsor's name attached to the project, their participation in steering committee meetings, and their willingness to communicate the importance of the ISMS to the organization.</w:t>
      </w:r>
    </w:p>
    <w:p>
      <w:pPr>
        <w:spacing w:after="80"/>
      </w:pPr>
      <w:r>
        <w:t xml:space="preserve"/>
      </w:r>
    </w:p>
    <w:p>
      <w:pPr>
        <w:spacing w:after="160" w:line="320"/>
        <w:jc w:val="both"/>
      </w:pPr>
      <w:r>
        <w:rPr>
          <w:rFonts w:ascii="Georgia" w:cs="Georgia" w:eastAsia="Georgia" w:hAnsi="Georgia"/>
          <w:color w:val="111827"/>
          <w:sz w:val="22"/>
          <w:szCs w:val="22"/>
        </w:rPr>
        <w:t xml:space="preserve">The most practical way to secure this mandate is a structured business case presented to the executive team. The business case should address: why ISO 27001, why now, what the regulatory and market drivers are, what the implementation will cost, what the expected timeline is, and what the organization risks by delaying. For Indonesian regulated organizations in 2026, this case is almost always straightforward — the regulatory window is closing and the market expectation is rising.</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THE MANDATE TEST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A genuine mandate means the executive sponsor can answer these three questions without prompting: What is the ISMS project trying to achieve? What are we committed to spending on it? When do we expect to be certified? If any of these questions produces a blank or a 'you'd have to ask the CISO', the mandate is nominal rather than genuine.</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Assembling the Implementation Team</w:t>
      </w:r>
    </w:p>
    <w:p>
      <w:pPr>
        <w:spacing w:after="80"/>
      </w:pPr>
      <w:r>
        <w:t xml:space="preserve"/>
      </w:r>
    </w:p>
    <w:p>
      <w:pPr>
        <w:spacing w:after="160" w:line="320"/>
        <w:jc w:val="both"/>
      </w:pPr>
      <w:r>
        <w:rPr>
          <w:rFonts w:ascii="Georgia" w:cs="Georgia" w:eastAsia="Georgia" w:hAnsi="Georgia"/>
          <w:color w:val="111827"/>
          <w:sz w:val="22"/>
          <w:szCs w:val="22"/>
        </w:rPr>
        <w:t xml:space="preserve">ISO 27001 is a management system standard — which means it requires genuine cross-functional participation, not just an IT security project with an executive rubber stamp. The implementation team needs representation from security, technology, legal, business operations, and executive leadership. Each role has specific responsibilities and a realistic time commitment that must be allocated, not borrowed opportunistically.</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600"/>
        <w:gridCol w:w="800"/>
        <w:gridCol w:w="1560"/>
        <w:gridCol w:w="3000"/>
        <w:gridCol w:w="2400"/>
      </w:tblGrid>
      <w:tr>
        <w:tc>
          <w:tcPr>
            <w:tcW w:type="dxa" w:w="16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Role</w:t>
            </w:r>
          </w:p>
        </w:tc>
        <w:tc>
          <w:tcPr>
            <w:tcW w:type="dxa" w:w="800"/>
            <w:tcBorders>
              <w:top w:val="single" w:color="DBEAFE" w:sz="1"/>
              <w:left w:val="single" w:color="DBEAFE" w:sz="1"/>
              <w:bottom w:val="single" w:color="DBEAFE" w:sz="1"/>
              <w:right w:val="single" w:color="DBEAFE" w:sz="1"/>
            </w:tcBorders>
            <w:shd w:fill="1B3A5C" w:val="clear"/>
            <w:tcMar>
              <w:top w:type="dxa" w:w="90"/>
              <w:left w:type="dxa" w:w="100"/>
              <w:bottom w:type="dxa" w:w="90"/>
              <w:right w:type="dxa" w:w="100"/>
            </w:tcMar>
          </w:tcPr>
          <w:p>
            <w:r>
              <w:rPr>
                <w:rFonts w:ascii="Arial" w:cs="Arial" w:eastAsia="Arial" w:hAnsi="Arial"/>
                <w:b/>
                <w:bCs/>
                <w:color w:val="FFFFFF"/>
                <w:sz w:val="19"/>
                <w:szCs w:val="19"/>
              </w:rPr>
              <w:t xml:space="preserve">Time</w:t>
            </w:r>
          </w:p>
        </w:tc>
        <w:tc>
          <w:tcPr>
            <w:tcW w:type="dxa" w:w="15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Typically filled by</w:t>
            </w:r>
          </w:p>
        </w:tc>
        <w:tc>
          <w:tcPr>
            <w:tcW w:type="dxa" w:w="3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Key responsibilities</w:t>
            </w:r>
          </w:p>
        </w:tc>
        <w:tc>
          <w:tcPr>
            <w:tcW w:type="dxa" w:w="2400"/>
            <w:tcBorders>
              <w:top w:val="single" w:color="DBEAFE" w:sz="1"/>
              <w:left w:val="single" w:color="DBEAFE" w:sz="1"/>
              <w:bottom w:val="single" w:color="DBEAFE" w:sz="1"/>
              <w:right w:val="single" w:color="DBEAFE" w:sz="1"/>
            </w:tcBorders>
            <w:shd w:fill="991B1B" w:val="clear"/>
            <w:tcMar>
              <w:top w:type="dxa" w:w="90"/>
              <w:left w:type="dxa" w:w="110"/>
              <w:bottom w:type="dxa" w:w="90"/>
              <w:right w:type="dxa" w:w="110"/>
            </w:tcMar>
          </w:tcPr>
          <w:p>
            <w:r>
              <w:rPr>
                <w:rFonts w:ascii="Arial" w:cs="Arial" w:eastAsia="Arial" w:hAnsi="Arial"/>
                <w:b/>
                <w:bCs/>
                <w:color w:val="FFFFFF"/>
                <w:sz w:val="19"/>
                <w:szCs w:val="19"/>
              </w:rPr>
              <w:t xml:space="preserve">Why it's critical</w:t>
            </w:r>
          </w:p>
        </w:tc>
      </w:tr>
      <w:tr>
        <w:tc>
          <w:tcPr>
            <w:tcW w:type="dxa" w:w="1600"/>
            <w:tcBorders>
              <w:top w:val="single" w:color="DBEAFE" w:sz="1"/>
              <w:left w:val="single" w:color="DBEAFE" w:sz="1"/>
              <w:bottom w:val="single" w:color="DBEAFE" w:sz="1"/>
              <w:right w:val="single" w:color="DBEAFE" w:sz="1"/>
            </w:tcBorders>
            <w:shd w:fill="1B3A5C" w:val="clear"/>
            <w:tcMar>
              <w:top w:type="dxa" w:w="100"/>
              <w:left w:type="dxa" w:w="110"/>
              <w:bottom w:type="dxa" w:w="100"/>
              <w:right w:type="dxa" w:w="110"/>
            </w:tcMar>
          </w:tcPr>
          <w:p>
            <w:r>
              <w:rPr>
                <w:rFonts w:ascii="Arial" w:cs="Arial" w:eastAsia="Arial" w:hAnsi="Arial"/>
                <w:b/>
                <w:bCs/>
                <w:color w:val="FFFFFF"/>
                <w:sz w:val="19"/>
                <w:szCs w:val="19"/>
              </w:rPr>
              <w:t xml:space="preserve">Executive Sponsor</w:t>
            </w:r>
          </w:p>
        </w:tc>
        <w:tc>
          <w:tcPr>
            <w:tcW w:type="dxa" w:w="800"/>
            <w:tcBorders>
              <w:top w:val="single" w:color="DBEAFE" w:sz="1"/>
              <w:left w:val="single" w:color="DBEAFE" w:sz="1"/>
              <w:bottom w:val="single" w:color="DBEAFE" w:sz="1"/>
              <w:right w:val="single" w:color="DBEAFE" w:sz="1"/>
            </w:tcBorders>
            <w:shd w:fill="FFFBEB" w:val="clear"/>
            <w:tcMar>
              <w:top w:type="dxa" w:w="100"/>
              <w:left w:type="dxa" w:w="100"/>
              <w:bottom w:type="dxa" w:w="100"/>
              <w:right w:type="dxa" w:w="100"/>
            </w:tcMar>
          </w:tcPr>
          <w:p>
            <w:r>
              <w:rPr>
                <w:rFonts w:ascii="Georgia" w:cs="Georgia" w:eastAsia="Georgia" w:hAnsi="Georgia"/>
                <w:color w:val="B45309"/>
                <w:sz w:val="17"/>
                <w:szCs w:val="17"/>
              </w:rPr>
              <w:t xml:space="preserve">5–8 hrs/month</w:t>
            </w:r>
          </w:p>
        </w:tc>
        <w:tc>
          <w:tcPr>
            <w:tcW w:type="dxa" w:w="156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CEO, COO, or equivalent</w:t>
            </w:r>
          </w:p>
        </w:tc>
        <w:tc>
          <w:tcPr>
            <w:tcW w:type="dxa" w:w="30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Approve ISMS scope and policy. Champion security culture from the top. Participate in management reviews. Make resource allocation decisions. Sign off on risk appetite.</w:t>
            </w:r>
          </w:p>
        </w:tc>
        <w:tc>
          <w:tcPr>
            <w:tcW w:type="dxa" w:w="240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Georgia" w:cs="Georgia" w:eastAsia="Georgia" w:hAnsi="Georgia"/>
                <w:i/>
                <w:iCs/>
                <w:color w:val="991B1B"/>
                <w:sz w:val="18"/>
                <w:szCs w:val="18"/>
              </w:rPr>
              <w:t xml:space="preserve">Without a genuine executive sponsor, the project will stall at the first resource conflict. This role cannot be nominal.</w:t>
            </w:r>
          </w:p>
        </w:tc>
      </w:tr>
      <w:tr>
        <w:tc>
          <w:tcPr>
            <w:tcW w:type="dxa" w:w="1600"/>
            <w:tcBorders>
              <w:top w:val="single" w:color="DBEAFE" w:sz="1"/>
              <w:left w:val="single" w:color="DBEAFE" w:sz="1"/>
              <w:bottom w:val="single" w:color="DBEAFE" w:sz="1"/>
              <w:right w:val="single" w:color="DBEAFE" w:sz="1"/>
            </w:tcBorders>
            <w:shd w:fill="2563A8" w:val="clear"/>
            <w:tcMar>
              <w:top w:type="dxa" w:w="100"/>
              <w:left w:type="dxa" w:w="110"/>
              <w:bottom w:type="dxa" w:w="100"/>
              <w:right w:type="dxa" w:w="110"/>
            </w:tcMar>
          </w:tcPr>
          <w:p>
            <w:r>
              <w:rPr>
                <w:rFonts w:ascii="Arial" w:cs="Arial" w:eastAsia="Arial" w:hAnsi="Arial"/>
                <w:b/>
                <w:bCs/>
                <w:color w:val="FFFFFF"/>
                <w:sz w:val="19"/>
                <w:szCs w:val="19"/>
              </w:rPr>
              <w:t xml:space="preserve">ISMS Project Lead / Manager</w:t>
            </w:r>
          </w:p>
        </w:tc>
        <w:tc>
          <w:tcPr>
            <w:tcW w:type="dxa" w:w="800"/>
            <w:tcBorders>
              <w:top w:val="single" w:color="DBEAFE" w:sz="1"/>
              <w:left w:val="single" w:color="DBEAFE" w:sz="1"/>
              <w:bottom w:val="single" w:color="DBEAFE" w:sz="1"/>
              <w:right w:val="single" w:color="DBEAFE" w:sz="1"/>
            </w:tcBorders>
            <w:shd w:fill="FFFDF5" w:val="clear"/>
            <w:tcMar>
              <w:top w:type="dxa" w:w="100"/>
              <w:left w:type="dxa" w:w="100"/>
              <w:bottom w:type="dxa" w:w="100"/>
              <w:right w:type="dxa" w:w="100"/>
            </w:tcMar>
          </w:tcPr>
          <w:p>
            <w:r>
              <w:rPr>
                <w:rFonts w:ascii="Georgia" w:cs="Georgia" w:eastAsia="Georgia" w:hAnsi="Georgia"/>
                <w:color w:val="B45309"/>
                <w:sz w:val="17"/>
                <w:szCs w:val="17"/>
              </w:rPr>
              <w:t xml:space="preserve">50–80% FTE during implementation</w:t>
            </w:r>
          </w:p>
        </w:tc>
        <w:tc>
          <w:tcPr>
            <w:tcW w:type="dxa" w:w="156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CISO, Head of IT Security, or dedicated security manager</w:t>
            </w:r>
          </w:p>
        </w:tc>
        <w:tc>
          <w:tcPr>
            <w:tcW w:type="dxa" w:w="300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8"/>
                <w:szCs w:val="18"/>
              </w:rPr>
              <w:t xml:space="preserve">Own the implementation project plan. Coordinate cross-functional work. Drive gap assessment. Develop risk methodology. Manage documentation. Prepare for audits.</w:t>
            </w:r>
          </w:p>
        </w:tc>
        <w:tc>
          <w:tcPr>
            <w:tcW w:type="dxa" w:w="2400"/>
            <w:tcBorders>
              <w:top w:val="single" w:color="DBEAFE" w:sz="1"/>
              <w:left w:val="single" w:color="DBEAFE" w:sz="1"/>
              <w:bottom w:val="single" w:color="DBEAFE" w:sz="1"/>
              <w:right w:val="single" w:color="DBEAFE" w:sz="1"/>
            </w:tcBorders>
            <w:shd w:fill="FFF5F5" w:val="clear"/>
            <w:tcMar>
              <w:top w:type="dxa" w:w="100"/>
              <w:left w:type="dxa" w:w="110"/>
              <w:bottom w:type="dxa" w:w="100"/>
              <w:right w:type="dxa" w:w="110"/>
            </w:tcMar>
          </w:tcPr>
          <w:p>
            <w:r>
              <w:rPr>
                <w:rFonts w:ascii="Georgia" w:cs="Georgia" w:eastAsia="Georgia" w:hAnsi="Georgia"/>
                <w:i/>
                <w:iCs/>
                <w:color w:val="991B1B"/>
                <w:sz w:val="18"/>
                <w:szCs w:val="18"/>
              </w:rPr>
              <w:t xml:space="preserve">The single most important implementation role. The quality of the ISMS is largely determined by this person's competence and dedication.</w:t>
            </w:r>
          </w:p>
        </w:tc>
      </w:tr>
      <w:tr>
        <w:tc>
          <w:tcPr>
            <w:tcW w:type="dxa" w:w="160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9"/>
                <w:szCs w:val="19"/>
              </w:rPr>
              <w:t xml:space="preserve">IT / Engineering Representative</w:t>
            </w:r>
          </w:p>
        </w:tc>
        <w:tc>
          <w:tcPr>
            <w:tcW w:type="dxa" w:w="800"/>
            <w:tcBorders>
              <w:top w:val="single" w:color="DBEAFE" w:sz="1"/>
              <w:left w:val="single" w:color="DBEAFE" w:sz="1"/>
              <w:bottom w:val="single" w:color="DBEAFE" w:sz="1"/>
              <w:right w:val="single" w:color="DBEAFE" w:sz="1"/>
            </w:tcBorders>
            <w:shd w:fill="FFFBEB" w:val="clear"/>
            <w:tcMar>
              <w:top w:type="dxa" w:w="100"/>
              <w:left w:type="dxa" w:w="100"/>
              <w:bottom w:type="dxa" w:w="100"/>
              <w:right w:type="dxa" w:w="100"/>
            </w:tcMar>
          </w:tcPr>
          <w:p>
            <w:r>
              <w:rPr>
                <w:rFonts w:ascii="Georgia" w:cs="Georgia" w:eastAsia="Georgia" w:hAnsi="Georgia"/>
                <w:color w:val="B45309"/>
                <w:sz w:val="17"/>
                <w:szCs w:val="17"/>
              </w:rPr>
              <w:t xml:space="preserve">20–30% FTE during implementation</w:t>
            </w:r>
          </w:p>
        </w:tc>
        <w:tc>
          <w:tcPr>
            <w:tcW w:type="dxa" w:w="156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Lead infrastructure engineer, DevOps lead, or IT Manager</w:t>
            </w:r>
          </w:p>
        </w:tc>
        <w:tc>
          <w:tcPr>
            <w:tcW w:type="dxa" w:w="30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Lead technical control implementation. Configure access management, logging, encryption, vulnerability management. Provide technical input to risk assessment.</w:t>
            </w:r>
          </w:p>
        </w:tc>
        <w:tc>
          <w:tcPr>
            <w:tcW w:type="dxa" w:w="240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Georgia" w:cs="Georgia" w:eastAsia="Georgia" w:hAnsi="Georgia"/>
                <w:i/>
                <w:iCs/>
                <w:color w:val="991B1B"/>
                <w:sz w:val="18"/>
                <w:szCs w:val="18"/>
              </w:rPr>
              <w:t xml:space="preserve">Cannot be purely advisory — must have authority to implement and change technical controls within the ISMS scope.</w:t>
            </w:r>
          </w:p>
        </w:tc>
      </w:tr>
      <w:tr>
        <w:tc>
          <w:tcPr>
            <w:tcW w:type="dxa" w:w="1600"/>
            <w:tcBorders>
              <w:top w:val="single" w:color="DBEAFE" w:sz="1"/>
              <w:left w:val="single" w:color="DBEAFE" w:sz="1"/>
              <w:bottom w:val="single" w:color="DBEAFE" w:sz="1"/>
              <w:right w:val="single" w:color="DBEAFE" w:sz="1"/>
            </w:tcBorders>
            <w:shd w:fill="3730A3" w:val="clear"/>
            <w:tcMar>
              <w:top w:type="dxa" w:w="100"/>
              <w:left w:type="dxa" w:w="110"/>
              <w:bottom w:type="dxa" w:w="100"/>
              <w:right w:type="dxa" w:w="110"/>
            </w:tcMar>
          </w:tcPr>
          <w:p>
            <w:r>
              <w:rPr>
                <w:rFonts w:ascii="Arial" w:cs="Arial" w:eastAsia="Arial" w:hAnsi="Arial"/>
                <w:b/>
                <w:bCs/>
                <w:color w:val="FFFFFF"/>
                <w:sz w:val="19"/>
                <w:szCs w:val="19"/>
              </w:rPr>
              <w:t xml:space="preserve">Legal / Compliance Representative</w:t>
            </w:r>
          </w:p>
        </w:tc>
        <w:tc>
          <w:tcPr>
            <w:tcW w:type="dxa" w:w="800"/>
            <w:tcBorders>
              <w:top w:val="single" w:color="DBEAFE" w:sz="1"/>
              <w:left w:val="single" w:color="DBEAFE" w:sz="1"/>
              <w:bottom w:val="single" w:color="DBEAFE" w:sz="1"/>
              <w:right w:val="single" w:color="DBEAFE" w:sz="1"/>
            </w:tcBorders>
            <w:shd w:fill="FFFDF5" w:val="clear"/>
            <w:tcMar>
              <w:top w:type="dxa" w:w="100"/>
              <w:left w:type="dxa" w:w="100"/>
              <w:bottom w:type="dxa" w:w="100"/>
              <w:right w:type="dxa" w:w="100"/>
            </w:tcMar>
          </w:tcPr>
          <w:p>
            <w:r>
              <w:rPr>
                <w:rFonts w:ascii="Georgia" w:cs="Georgia" w:eastAsia="Georgia" w:hAnsi="Georgia"/>
                <w:color w:val="B45309"/>
                <w:sz w:val="17"/>
                <w:szCs w:val="17"/>
              </w:rPr>
              <w:t xml:space="preserve">5–10 hrs/month</w:t>
            </w:r>
          </w:p>
        </w:tc>
        <w:tc>
          <w:tcPr>
            <w:tcW w:type="dxa" w:w="156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Legal Counsel, Compliance Manager, or DPO</w:t>
            </w:r>
          </w:p>
        </w:tc>
        <w:tc>
          <w:tcPr>
            <w:tcW w:type="dxa" w:w="300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8"/>
                <w:szCs w:val="18"/>
              </w:rPr>
              <w:t xml:space="preserve">Interpret regulatory requirements (UU PDP, POJK, PBI, BSSN). Review supplier contracts for security obligations. Advise on breach notification obligations.</w:t>
            </w:r>
          </w:p>
        </w:tc>
        <w:tc>
          <w:tcPr>
            <w:tcW w:type="dxa" w:w="2400"/>
            <w:tcBorders>
              <w:top w:val="single" w:color="DBEAFE" w:sz="1"/>
              <w:left w:val="single" w:color="DBEAFE" w:sz="1"/>
              <w:bottom w:val="single" w:color="DBEAFE" w:sz="1"/>
              <w:right w:val="single" w:color="DBEAFE" w:sz="1"/>
            </w:tcBorders>
            <w:shd w:fill="FFF5F5" w:val="clear"/>
            <w:tcMar>
              <w:top w:type="dxa" w:w="100"/>
              <w:left w:type="dxa" w:w="110"/>
              <w:bottom w:type="dxa" w:w="100"/>
              <w:right w:type="dxa" w:w="110"/>
            </w:tcMar>
          </w:tcPr>
          <w:p>
            <w:r>
              <w:rPr>
                <w:rFonts w:ascii="Georgia" w:cs="Georgia" w:eastAsia="Georgia" w:hAnsi="Georgia"/>
                <w:i/>
                <w:iCs/>
                <w:color w:val="991B1B"/>
                <w:sz w:val="18"/>
                <w:szCs w:val="18"/>
              </w:rPr>
              <w:t xml:space="preserve">In Indonesian regulated industries, regulatory interpretation is a core ISMS input — not an optional advisory function.</w:t>
            </w:r>
          </w:p>
        </w:tc>
      </w:tr>
      <w:tr>
        <w:tc>
          <w:tcPr>
            <w:tcW w:type="dxa" w:w="1600"/>
            <w:tcBorders>
              <w:top w:val="single" w:color="DBEAFE" w:sz="1"/>
              <w:left w:val="single" w:color="DBEAFE" w:sz="1"/>
              <w:bottom w:val="single" w:color="DBEAFE" w:sz="1"/>
              <w:right w:val="single" w:color="DBEAFE" w:sz="1"/>
            </w:tcBorders>
            <w:shd w:fill="6D28D9" w:val="clear"/>
            <w:tcMar>
              <w:top w:type="dxa" w:w="100"/>
              <w:left w:type="dxa" w:w="110"/>
              <w:bottom w:type="dxa" w:w="100"/>
              <w:right w:type="dxa" w:w="110"/>
            </w:tcMar>
          </w:tcPr>
          <w:p>
            <w:r>
              <w:rPr>
                <w:rFonts w:ascii="Arial" w:cs="Arial" w:eastAsia="Arial" w:hAnsi="Arial"/>
                <w:b/>
                <w:bCs/>
                <w:color w:val="FFFFFF"/>
                <w:sz w:val="19"/>
                <w:szCs w:val="19"/>
              </w:rPr>
              <w:t xml:space="preserve">Business Unit Representatives</w:t>
            </w:r>
          </w:p>
        </w:tc>
        <w:tc>
          <w:tcPr>
            <w:tcW w:type="dxa" w:w="800"/>
            <w:tcBorders>
              <w:top w:val="single" w:color="DBEAFE" w:sz="1"/>
              <w:left w:val="single" w:color="DBEAFE" w:sz="1"/>
              <w:bottom w:val="single" w:color="DBEAFE" w:sz="1"/>
              <w:right w:val="single" w:color="DBEAFE" w:sz="1"/>
            </w:tcBorders>
            <w:shd w:fill="FFFBEB" w:val="clear"/>
            <w:tcMar>
              <w:top w:type="dxa" w:w="100"/>
              <w:left w:type="dxa" w:w="100"/>
              <w:bottom w:type="dxa" w:w="100"/>
              <w:right w:type="dxa" w:w="100"/>
            </w:tcMar>
          </w:tcPr>
          <w:p>
            <w:r>
              <w:rPr>
                <w:rFonts w:ascii="Georgia" w:cs="Georgia" w:eastAsia="Georgia" w:hAnsi="Georgia"/>
                <w:color w:val="B45309"/>
                <w:sz w:val="17"/>
                <w:szCs w:val="17"/>
              </w:rPr>
              <w:t xml:space="preserve">4–6 hrs/month per unit</w:t>
            </w:r>
          </w:p>
        </w:tc>
        <w:tc>
          <w:tcPr>
            <w:tcW w:type="dxa" w:w="156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Heads of each business function in scope (Product, Finance, Operations, HR, etc.)</w:t>
            </w:r>
          </w:p>
        </w:tc>
        <w:tc>
          <w:tcPr>
            <w:tcW w:type="dxa" w:w="30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Represent their unit in risk assessments. Act as risk owners for risks in their domain. Ensure operational integration of security controls into business processes.</w:t>
            </w:r>
          </w:p>
        </w:tc>
        <w:tc>
          <w:tcPr>
            <w:tcW w:type="dxa" w:w="240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Georgia" w:cs="Georgia" w:eastAsia="Georgia" w:hAnsi="Georgia"/>
                <w:i/>
                <w:iCs/>
                <w:color w:val="991B1B"/>
                <w:sz w:val="18"/>
                <w:szCs w:val="18"/>
              </w:rPr>
              <w:t xml:space="preserve">Without business unit engagement, the ISMS becomes an IT program that the rest of the organization ignores.</w:t>
            </w:r>
          </w:p>
        </w:tc>
      </w:tr>
      <w:tr>
        <w:tc>
          <w:tcPr>
            <w:tcW w:type="dxa" w:w="1600"/>
            <w:tcBorders>
              <w:top w:val="single" w:color="DBEAFE" w:sz="1"/>
              <w:left w:val="single" w:color="DBEAFE" w:sz="1"/>
              <w:bottom w:val="single" w:color="DBEAFE" w:sz="1"/>
              <w:right w:val="single" w:color="DBEAFE" w:sz="1"/>
            </w:tcBorders>
            <w:shd w:fill="B45309" w:val="clear"/>
            <w:tcMar>
              <w:top w:type="dxa" w:w="100"/>
              <w:left w:type="dxa" w:w="110"/>
              <w:bottom w:type="dxa" w:w="100"/>
              <w:right w:type="dxa" w:w="110"/>
            </w:tcMar>
          </w:tcPr>
          <w:p>
            <w:r>
              <w:rPr>
                <w:rFonts w:ascii="Arial" w:cs="Arial" w:eastAsia="Arial" w:hAnsi="Arial"/>
                <w:b/>
                <w:bCs/>
                <w:color w:val="FFFFFF"/>
                <w:sz w:val="19"/>
                <w:szCs w:val="19"/>
              </w:rPr>
              <w:t xml:space="preserve">External Consultant (optional)</w:t>
            </w:r>
          </w:p>
        </w:tc>
        <w:tc>
          <w:tcPr>
            <w:tcW w:type="dxa" w:w="800"/>
            <w:tcBorders>
              <w:top w:val="single" w:color="DBEAFE" w:sz="1"/>
              <w:left w:val="single" w:color="DBEAFE" w:sz="1"/>
              <w:bottom w:val="single" w:color="DBEAFE" w:sz="1"/>
              <w:right w:val="single" w:color="DBEAFE" w:sz="1"/>
            </w:tcBorders>
            <w:shd w:fill="FFFDF5" w:val="clear"/>
            <w:tcMar>
              <w:top w:type="dxa" w:w="100"/>
              <w:left w:type="dxa" w:w="100"/>
              <w:bottom w:type="dxa" w:w="100"/>
              <w:right w:type="dxa" w:w="100"/>
            </w:tcMar>
          </w:tcPr>
          <w:p>
            <w:r>
              <w:rPr>
                <w:rFonts w:ascii="Georgia" w:cs="Georgia" w:eastAsia="Georgia" w:hAnsi="Georgia"/>
                <w:color w:val="B45309"/>
                <w:sz w:val="17"/>
                <w:szCs w:val="17"/>
              </w:rPr>
              <w:t xml:space="preserve">Variable — typically 20–40 days total</w:t>
            </w:r>
          </w:p>
        </w:tc>
        <w:tc>
          <w:tcPr>
            <w:tcW w:type="dxa" w:w="156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ISO 27001 Lead Implementer or specialist GRC consultant</w:t>
            </w:r>
          </w:p>
        </w:tc>
        <w:tc>
          <w:tcPr>
            <w:tcW w:type="dxa" w:w="300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8"/>
                <w:szCs w:val="18"/>
              </w:rPr>
              <w:t xml:space="preserve">Gap assessment leadership. Risk methodology design. Policy and procedure drafting. Pre-audit preparation. Regulatory mapping.</w:t>
            </w:r>
          </w:p>
        </w:tc>
        <w:tc>
          <w:tcPr>
            <w:tcW w:type="dxa" w:w="2400"/>
            <w:tcBorders>
              <w:top w:val="single" w:color="DBEAFE" w:sz="1"/>
              <w:left w:val="single" w:color="DBEAFE" w:sz="1"/>
              <w:bottom w:val="single" w:color="DBEAFE" w:sz="1"/>
              <w:right w:val="single" w:color="DBEAFE" w:sz="1"/>
            </w:tcBorders>
            <w:shd w:fill="FFF5F5" w:val="clear"/>
            <w:tcMar>
              <w:top w:type="dxa" w:w="100"/>
              <w:left w:type="dxa" w:w="110"/>
              <w:bottom w:type="dxa" w:w="100"/>
              <w:right w:type="dxa" w:w="110"/>
            </w:tcMar>
          </w:tcPr>
          <w:p>
            <w:r>
              <w:rPr>
                <w:rFonts w:ascii="Georgia" w:cs="Georgia" w:eastAsia="Georgia" w:hAnsi="Georgia"/>
                <w:i/>
                <w:iCs/>
                <w:color w:val="991B1B"/>
                <w:sz w:val="18"/>
                <w:szCs w:val="18"/>
              </w:rPr>
              <w:t xml:space="preserve">Most valuable for first-cycle implementations. Reduces timeline significantly. Should build internal capability, not create ongoing dependency.</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B45309" w:sz="1"/>
              <w:left w:val="single" w:color="B45309" w:sz="12"/>
              <w:bottom w:val="single" w:color="B45309" w:sz="1"/>
              <w:right w:val="single" w:color="B45309" w:sz="1"/>
            </w:tcBorders>
            <w:shd w:fill="FFFBEB" w:val="clear"/>
            <w:tcMar>
              <w:top w:type="dxa" w:w="140"/>
              <w:left w:type="dxa" w:w="200"/>
              <w:bottom w:type="dxa" w:w="140"/>
              <w:right w:type="dxa" w:w="160"/>
            </w:tcMar>
          </w:tcPr>
          <w:p>
            <w:r>
              <w:rPr>
                <w:rFonts w:ascii="Georgia" w:cs="Georgia" w:eastAsia="Georgia" w:hAnsi="Georgia"/>
                <w:i/>
                <w:iCs/>
                <w:color w:val="B45309"/>
                <w:sz w:val="21"/>
                <w:szCs w:val="21"/>
              </w:rPr>
              <w:t xml:space="preserve">Time allocation is the most commonly underestimated input in ISO 27001 implementations. Organizations that assume their ISMS Lead can deliver a certification-ready ISMS while maintaining their existing workload consistently miss their timelines. A realistic implementation requires the ISMS Lead at 50–80% FTE for the full project duration. Any lower and the project moves at half speed. Protected time is not negotiable — it needs to be in the project budget and in the individual's performance objectives.</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Defining the ISMS Scope</w:t>
      </w:r>
    </w:p>
    <w:p>
      <w:pPr>
        <w:spacing w:after="80"/>
      </w:pPr>
      <w:r>
        <w:t xml:space="preserve"/>
      </w:r>
    </w:p>
    <w:p>
      <w:pPr>
        <w:spacing w:after="160" w:line="320"/>
        <w:jc w:val="both"/>
      </w:pPr>
      <w:r>
        <w:rPr>
          <w:rFonts w:ascii="Georgia" w:cs="Georgia" w:eastAsia="Georgia" w:hAnsi="Georgia"/>
          <w:color w:val="111827"/>
          <w:sz w:val="22"/>
          <w:szCs w:val="22"/>
        </w:rPr>
        <w:t xml:space="preserve">Scope definition is the most consequential decision in the initiation phase. The scope determines what will be audited, what the certificate covers, how much work the implementation requires, and whether the first certification attempt is achievable within the planned timeline and budget. Get it right and the rest of the implementation has a clear, defensible boundary to work within. Get it wrong and every subsequent decision is harder.</w:t>
      </w:r>
    </w:p>
    <w:p>
      <w:pPr>
        <w:spacing w:after="80"/>
      </w:pPr>
      <w:r>
        <w:t xml:space="preserve"/>
      </w:r>
    </w:p>
    <w:p>
      <w:pPr>
        <w:spacing w:after="160" w:line="320"/>
        <w:jc w:val="both"/>
      </w:pPr>
      <w:r>
        <w:rPr>
          <w:rFonts w:ascii="Georgia" w:cs="Georgia" w:eastAsia="Georgia" w:hAnsi="Georgia"/>
          <w:color w:val="111827"/>
          <w:sz w:val="22"/>
          <w:szCs w:val="22"/>
        </w:rPr>
        <w:t xml:space="preserve">The core tension in scope definition is between comprehensiveness and achievability. A comprehensive scope that covers the entire organization demonstrates commitment and maximizes regulatory coverage — but it also maximizes complexity, timeline, and cost, and increases the probability of audit failures in areas that were not ready. A focused, bounded scope that can be certified cleanly in the first attempt provides a much stronger foundation for expansion in subsequent cycles.</w:t>
      </w:r>
    </w:p>
    <w:p>
      <w:pPr>
        <w:spacing w:after="80"/>
      </w:pPr>
      <w:r>
        <w:t xml:space="preserve"/>
      </w:r>
    </w:p>
    <w:p>
      <w:pPr>
        <w:spacing w:after="160" w:line="320"/>
        <w:jc w:val="both"/>
      </w:pPr>
      <w:r>
        <w:rPr>
          <w:rFonts w:ascii="Georgia" w:cs="Georgia" w:eastAsia="Georgia" w:hAnsi="Georgia"/>
          <w:color w:val="111827"/>
          <w:sz w:val="22"/>
          <w:szCs w:val="22"/>
        </w:rPr>
        <w:t xml:space="preserve">The recommendation for most first-cycle implementations is a focused scope: the core service or product that represents the highest risk and the most pressing regulatory and market driver. Build a clean, genuine ISMS for that scope. Certify. Then expand.</w:t>
      </w:r>
    </w:p>
    <w:p>
      <w:pPr>
        <w:spacing w:after="120"/>
      </w:pPr>
      <w:r>
        <w:t xml:space="preserve"/>
      </w:r>
    </w:p>
    <w:p>
      <w:pPr>
        <w:pStyle w:val="Heading3"/>
        <w:spacing w:after="120" w:before="280"/>
      </w:pPr>
      <w:r>
        <w:rPr>
          <w:rFonts w:ascii="Arial" w:cs="Arial" w:eastAsia="Arial" w:hAnsi="Arial"/>
          <w:b/>
          <w:bCs/>
          <w:color w:val="2563A8"/>
          <w:sz w:val="24"/>
          <w:szCs w:val="24"/>
        </w:rPr>
        <w:t xml:space="preserve">The Six Scope Dimensions</w:t>
      </w:r>
    </w:p>
    <w:p>
      <w:pPr>
        <w:spacing w:after="80"/>
      </w:pPr>
      <w:r>
        <w:t xml:space="preserve"/>
      </w:r>
    </w:p>
    <w:p>
      <w:pPr>
        <w:spacing w:after="160" w:line="320"/>
        <w:jc w:val="both"/>
      </w:pPr>
      <w:r>
        <w:rPr>
          <w:rFonts w:ascii="Georgia" w:cs="Georgia" w:eastAsia="Georgia" w:hAnsi="Georgia"/>
          <w:color w:val="111827"/>
          <w:sz w:val="22"/>
          <w:szCs w:val="22"/>
        </w:rPr>
        <w:t xml:space="preserve">Effective scope definition works across six dimensions. For each dimension, the worksheet below provides the scoping question, practical guidance, and an example drawn from a typical Indonesian fintech organization:</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00"/>
        <w:gridCol w:w="2560"/>
        <w:gridCol w:w="2800"/>
        <w:gridCol w:w="2600"/>
      </w:tblGrid>
      <w:tr>
        <w:tc>
          <w:tcPr>
            <w:tcW w:type="dxa" w:w="14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Dimension</w:t>
            </w:r>
          </w:p>
        </w:tc>
        <w:tc>
          <w:tcPr>
            <w:tcW w:type="dxa" w:w="25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Scoping question &amp; guidance</w:t>
            </w:r>
          </w:p>
        </w:tc>
        <w:tc>
          <w:tcPr>
            <w:tcW w:type="dxa" w:w="28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Scoping guidance</w:t>
            </w:r>
          </w:p>
        </w:tc>
        <w:tc>
          <w:tcPr>
            <w:tcW w:type="dxa" w:w="26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Example (Indonesian fintech)</w:t>
            </w:r>
          </w:p>
        </w:tc>
      </w:tr>
      <w:tr>
        <w:tc>
          <w:tcPr>
            <w:tcW w:type="dxa" w:w="1400"/>
            <w:tcBorders>
              <w:top w:val="single" w:color="DBEAFE" w:sz="1"/>
              <w:left w:val="single" w:color="DBEAFE" w:sz="1"/>
              <w:bottom w:val="single" w:color="DBEAFE" w:sz="1"/>
              <w:right w:val="single" w:color="DBEAFE" w:sz="1"/>
            </w:tcBorders>
            <w:shd w:fill="1B3A5C" w:val="clear"/>
            <w:tcMar>
              <w:top w:type="dxa" w:w="100"/>
              <w:left w:type="dxa" w:w="110"/>
              <w:bottom w:type="dxa" w:w="100"/>
              <w:right w:type="dxa" w:w="110"/>
            </w:tcMar>
          </w:tcPr>
          <w:p>
            <w:r>
              <w:rPr>
                <w:rFonts w:ascii="Arial" w:cs="Arial" w:eastAsia="Arial" w:hAnsi="Arial"/>
                <w:b/>
                <w:bCs/>
                <w:color w:val="FFFFFF"/>
                <w:sz w:val="19"/>
                <w:szCs w:val="19"/>
              </w:rPr>
              <w:t xml:space="preserve">Services &amp; Products</w:t>
            </w:r>
          </w:p>
        </w:tc>
        <w:tc>
          <w:tcPr>
            <w:tcW w:type="dxa" w:w="256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Arial" w:cs="Arial" w:eastAsia="Arial" w:hAnsi="Arial"/>
                <w:b/>
                <w:bCs/>
                <w:color w:val="2563A8"/>
                <w:sz w:val="18"/>
                <w:szCs w:val="18"/>
              </w:rPr>
              <w:t xml:space="preserve">Which services or products will be within the ISMS boundary?</w:t>
            </w:r>
          </w:p>
        </w:tc>
        <w:tc>
          <w:tcPr>
            <w:tcW w:type="dxa" w:w="28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Start with the highest-revenue or highest-risk services. For regulated organizations, prioritize services that handle personal data or financial transactions. You can expand scope in later cycles.</w:t>
            </w:r>
          </w:p>
        </w:tc>
        <w:tc>
          <w:tcPr>
            <w:tcW w:type="dxa" w:w="26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Scope: Digital payment platform and customer-facing mobile banking application. Excluded: Internal corporate HR system and back-office accounting platform.</w:t>
            </w:r>
          </w:p>
        </w:tc>
      </w:tr>
      <w:tr>
        <w:tc>
          <w:tcPr>
            <w:tcW w:type="dxa" w:w="1400"/>
            <w:tcBorders>
              <w:top w:val="single" w:color="DBEAFE" w:sz="1"/>
              <w:left w:val="single" w:color="DBEAFE" w:sz="1"/>
              <w:bottom w:val="single" w:color="DBEAFE" w:sz="1"/>
              <w:right w:val="single" w:color="DBEAFE" w:sz="1"/>
            </w:tcBorders>
            <w:shd w:fill="2563A8" w:val="clear"/>
            <w:tcMar>
              <w:top w:type="dxa" w:w="100"/>
              <w:left w:type="dxa" w:w="110"/>
              <w:bottom w:type="dxa" w:w="100"/>
              <w:right w:type="dxa" w:w="110"/>
            </w:tcMar>
          </w:tcPr>
          <w:p>
            <w:r>
              <w:rPr>
                <w:rFonts w:ascii="Arial" w:cs="Arial" w:eastAsia="Arial" w:hAnsi="Arial"/>
                <w:b/>
                <w:bCs/>
                <w:color w:val="FFFFFF"/>
                <w:sz w:val="19"/>
                <w:szCs w:val="19"/>
              </w:rPr>
              <w:t xml:space="preserve">Physical Locations</w:t>
            </w:r>
          </w:p>
        </w:tc>
        <w:tc>
          <w:tcPr>
            <w:tcW w:type="dxa" w:w="256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Arial" w:cs="Arial" w:eastAsia="Arial" w:hAnsi="Arial"/>
                <w:b/>
                <w:bCs/>
                <w:color w:val="2563A8"/>
                <w:sz w:val="18"/>
                <w:szCs w:val="18"/>
              </w:rPr>
              <w:t xml:space="preserve">Which physical locations, offices, or data centers are included?</w:t>
            </w:r>
          </w:p>
        </w:tc>
        <w:tc>
          <w:tcPr>
            <w:tcW w:type="dxa" w:w="28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Include every location where in-scope systems are accessed, operated, or maintained. For fully remote organizations, address home office and device security through policy rather than excluding the topic.</w:t>
            </w:r>
          </w:p>
        </w:tc>
        <w:tc>
          <w:tcPr>
            <w:tcW w:type="dxa" w:w="26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Jakarta headquarters (primary operations). AWS ap-southeast-1 region (production hosting). Excluded: Surabaya satellite office (no access to production systems).</w:t>
            </w:r>
          </w:p>
        </w:tc>
      </w:tr>
      <w:tr>
        <w:tc>
          <w:tcPr>
            <w:tcW w:type="dxa" w:w="140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9"/>
                <w:szCs w:val="19"/>
              </w:rPr>
              <w:t xml:space="preserve">Organizational Units</w:t>
            </w:r>
          </w:p>
        </w:tc>
        <w:tc>
          <w:tcPr>
            <w:tcW w:type="dxa" w:w="2560"/>
            <w:tcBorders>
              <w:top w:val="single" w:color="DBEAFE" w:sz="1"/>
              <w:left w:val="single" w:color="DBEAFE" w:sz="1"/>
              <w:bottom w:val="single" w:color="DBEAFE" w:sz="1"/>
              <w:right w:val="single" w:color="DBEAFE" w:sz="1"/>
            </w:tcBorders>
            <w:shd w:fill="F0FDFA" w:val="clear"/>
            <w:tcMar>
              <w:top w:type="dxa" w:w="100"/>
              <w:left w:type="dxa" w:w="110"/>
              <w:bottom w:type="dxa" w:w="100"/>
              <w:right w:type="dxa" w:w="110"/>
            </w:tcMar>
          </w:tcPr>
          <w:p>
            <w:r>
              <w:rPr>
                <w:rFonts w:ascii="Arial" w:cs="Arial" w:eastAsia="Arial" w:hAnsi="Arial"/>
                <w:b/>
                <w:bCs/>
                <w:color w:val="0F766E"/>
                <w:sz w:val="18"/>
                <w:szCs w:val="18"/>
              </w:rPr>
              <w:t xml:space="preserve">Which departments, teams, or business units are included?</w:t>
            </w:r>
          </w:p>
        </w:tc>
        <w:tc>
          <w:tcPr>
            <w:tcW w:type="dxa" w:w="28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Include all units whose work materially affects the security of in-scope services — IT, engineering, product, operations, customer service, finance (if handling payment data). Exclude units with no meaningful interface to in-scope systems.</w:t>
            </w:r>
          </w:p>
        </w:tc>
        <w:tc>
          <w:tcPr>
            <w:tcW w:type="dxa" w:w="26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Engineering, IT Operations, Product Management, Customer Operations (payment support), Finance (payment reconciliation). Excluded: Marketing, HR, Legal (no production system access).</w:t>
            </w:r>
          </w:p>
        </w:tc>
      </w:tr>
      <w:tr>
        <w:tc>
          <w:tcPr>
            <w:tcW w:type="dxa" w:w="1400"/>
            <w:tcBorders>
              <w:top w:val="single" w:color="DBEAFE" w:sz="1"/>
              <w:left w:val="single" w:color="DBEAFE" w:sz="1"/>
              <w:bottom w:val="single" w:color="DBEAFE" w:sz="1"/>
              <w:right w:val="single" w:color="DBEAFE" w:sz="1"/>
            </w:tcBorders>
            <w:shd w:fill="3730A3" w:val="clear"/>
            <w:tcMar>
              <w:top w:type="dxa" w:w="100"/>
              <w:left w:type="dxa" w:w="110"/>
              <w:bottom w:type="dxa" w:w="100"/>
              <w:right w:type="dxa" w:w="110"/>
            </w:tcMar>
          </w:tcPr>
          <w:p>
            <w:r>
              <w:rPr>
                <w:rFonts w:ascii="Arial" w:cs="Arial" w:eastAsia="Arial" w:hAnsi="Arial"/>
                <w:b/>
                <w:bCs/>
                <w:color w:val="FFFFFF"/>
                <w:sz w:val="19"/>
                <w:szCs w:val="19"/>
              </w:rPr>
              <w:t xml:space="preserve">Third-Party Relationships</w:t>
            </w:r>
          </w:p>
        </w:tc>
        <w:tc>
          <w:tcPr>
            <w:tcW w:type="dxa" w:w="2560"/>
            <w:tcBorders>
              <w:top w:val="single" w:color="DBEAFE" w:sz="1"/>
              <w:left w:val="single" w:color="DBEAFE" w:sz="1"/>
              <w:bottom w:val="single" w:color="DBEAFE" w:sz="1"/>
              <w:right w:val="single" w:color="DBEAFE" w:sz="1"/>
            </w:tcBorders>
            <w:shd w:fill="EEF2FF" w:val="clear"/>
            <w:tcMar>
              <w:top w:type="dxa" w:w="100"/>
              <w:left w:type="dxa" w:w="110"/>
              <w:bottom w:type="dxa" w:w="100"/>
              <w:right w:type="dxa" w:w="110"/>
            </w:tcMar>
          </w:tcPr>
          <w:p>
            <w:r>
              <w:rPr>
                <w:rFonts w:ascii="Arial" w:cs="Arial" w:eastAsia="Arial" w:hAnsi="Arial"/>
                <w:b/>
                <w:bCs/>
                <w:color w:val="3730A3"/>
                <w:sz w:val="18"/>
                <w:szCs w:val="18"/>
              </w:rPr>
              <w:t xml:space="preserve">Which suppliers, cloud providers, and partners must be addressed?</w:t>
            </w:r>
          </w:p>
        </w:tc>
        <w:tc>
          <w:tcPr>
            <w:tcW w:type="dxa" w:w="28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You cannot exclude third parties that process your in-scope data or operate systems your in-scope services depend on. They must be addressed through supplier controls — even if they are not 'in scope' themselves.</w:t>
            </w:r>
          </w:p>
        </w:tc>
        <w:tc>
          <w:tcPr>
            <w:tcW w:type="dxa" w:w="26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Must address: AWS (hosting), Stripe (payment gateway), Twilio (SMS OTP), GitHub (source code). Formal security requirements in contracts and annual monitoring reviews.</w:t>
            </w:r>
          </w:p>
        </w:tc>
      </w:tr>
      <w:tr>
        <w:tc>
          <w:tcPr>
            <w:tcW w:type="dxa" w:w="1400"/>
            <w:tcBorders>
              <w:top w:val="single" w:color="DBEAFE" w:sz="1"/>
              <w:left w:val="single" w:color="DBEAFE" w:sz="1"/>
              <w:bottom w:val="single" w:color="DBEAFE" w:sz="1"/>
              <w:right w:val="single" w:color="DBEAFE" w:sz="1"/>
            </w:tcBorders>
            <w:shd w:fill="6D28D9" w:val="clear"/>
            <w:tcMar>
              <w:top w:type="dxa" w:w="100"/>
              <w:left w:type="dxa" w:w="110"/>
              <w:bottom w:type="dxa" w:w="100"/>
              <w:right w:type="dxa" w:w="110"/>
            </w:tcMar>
          </w:tcPr>
          <w:p>
            <w:r>
              <w:rPr>
                <w:rFonts w:ascii="Arial" w:cs="Arial" w:eastAsia="Arial" w:hAnsi="Arial"/>
                <w:b/>
                <w:bCs/>
                <w:color w:val="FFFFFF"/>
                <w:sz w:val="19"/>
                <w:szCs w:val="19"/>
              </w:rPr>
              <w:t xml:space="preserve">Technology Assets</w:t>
            </w:r>
          </w:p>
        </w:tc>
        <w:tc>
          <w:tcPr>
            <w:tcW w:type="dxa" w:w="2560"/>
            <w:tcBorders>
              <w:top w:val="single" w:color="DBEAFE" w:sz="1"/>
              <w:left w:val="single" w:color="DBEAFE" w:sz="1"/>
              <w:bottom w:val="single" w:color="DBEAFE" w:sz="1"/>
              <w:right w:val="single" w:color="DBEAFE" w:sz="1"/>
            </w:tcBorders>
            <w:shd w:fill="F5F3FF" w:val="clear"/>
            <w:tcMar>
              <w:top w:type="dxa" w:w="100"/>
              <w:left w:type="dxa" w:w="110"/>
              <w:bottom w:type="dxa" w:w="100"/>
              <w:right w:type="dxa" w:w="110"/>
            </w:tcMar>
          </w:tcPr>
          <w:p>
            <w:r>
              <w:rPr>
                <w:rFonts w:ascii="Arial" w:cs="Arial" w:eastAsia="Arial" w:hAnsi="Arial"/>
                <w:b/>
                <w:bCs/>
                <w:color w:val="6D28D9"/>
                <w:sz w:val="18"/>
                <w:szCs w:val="18"/>
              </w:rPr>
              <w:t xml:space="preserve">Which systems, applications, infrastructure, and data stores are included?</w:t>
            </w:r>
          </w:p>
        </w:tc>
        <w:tc>
          <w:tcPr>
            <w:tcW w:type="dxa" w:w="28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Map systems that support in-scope services. Include production systems, staging environments (if they handle real data), monitoring infrastructure, and access management systems. Document what is excluded and why.</w:t>
            </w:r>
          </w:p>
        </w:tc>
        <w:tc>
          <w:tcPr>
            <w:tcW w:type="dxa" w:w="26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Included: Production application servers, customer database, payment processing API, monitoring stack, VPN infrastructure. Excluded: Development workstations (no production data access via policy control).</w:t>
            </w:r>
          </w:p>
        </w:tc>
      </w:tr>
      <w:tr>
        <w:tc>
          <w:tcPr>
            <w:tcW w:type="dxa" w:w="1400"/>
            <w:tcBorders>
              <w:top w:val="single" w:color="DBEAFE" w:sz="1"/>
              <w:left w:val="single" w:color="DBEAFE" w:sz="1"/>
              <w:bottom w:val="single" w:color="DBEAFE" w:sz="1"/>
              <w:right w:val="single" w:color="DBEAFE" w:sz="1"/>
            </w:tcBorders>
            <w:shd w:fill="B45309" w:val="clear"/>
            <w:tcMar>
              <w:top w:type="dxa" w:w="100"/>
              <w:left w:type="dxa" w:w="110"/>
              <w:bottom w:type="dxa" w:w="100"/>
              <w:right w:type="dxa" w:w="110"/>
            </w:tcMar>
          </w:tcPr>
          <w:p>
            <w:r>
              <w:rPr>
                <w:rFonts w:ascii="Arial" w:cs="Arial" w:eastAsia="Arial" w:hAnsi="Arial"/>
                <w:b/>
                <w:bCs/>
                <w:color w:val="FFFFFF"/>
                <w:sz w:val="19"/>
                <w:szCs w:val="19"/>
              </w:rPr>
              <w:t xml:space="preserve">Data Types</w:t>
            </w:r>
          </w:p>
        </w:tc>
        <w:tc>
          <w:tcPr>
            <w:tcW w:type="dxa" w:w="256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Arial" w:cs="Arial" w:eastAsia="Arial" w:hAnsi="Arial"/>
                <w:b/>
                <w:bCs/>
                <w:color w:val="B45309"/>
                <w:sz w:val="18"/>
                <w:szCs w:val="18"/>
              </w:rPr>
              <w:t xml:space="preserve">Which categories of information assets are within scope?</w:t>
            </w:r>
          </w:p>
        </w:tc>
        <w:tc>
          <w:tcPr>
            <w:tcW w:type="dxa" w:w="28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At minimum: personal data subject to UU PDP, financial transaction data, authentication credentials, and any data classified as confidential or above. Explicitly document which data classifications fall inside vs. outside the ISMS boundary.</w:t>
            </w:r>
          </w:p>
        </w:tc>
        <w:tc>
          <w:tcPr>
            <w:tcW w:type="dxa" w:w="26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In scope: Customer PII, payment card data, authentication tokens, transaction records. Out of scope: Aggregated anonymized analytics data with no personal identifiers.</w:t>
            </w:r>
          </w:p>
        </w:tc>
      </w:tr>
    </w:tbl>
    <w:p>
      <w:pPr>
        <w:spacing w:after="160"/>
      </w:pPr>
      <w:r>
        <w:t xml:space="preserve"/>
      </w:r>
    </w:p>
    <w:p>
      <w:pPr>
        <w:pStyle w:val="Heading3"/>
        <w:spacing w:after="120" w:before="280"/>
      </w:pPr>
      <w:r>
        <w:rPr>
          <w:rFonts w:ascii="Arial" w:cs="Arial" w:eastAsia="Arial" w:hAnsi="Arial"/>
          <w:b/>
          <w:bCs/>
          <w:color w:val="2563A8"/>
          <w:sz w:val="24"/>
          <w:szCs w:val="24"/>
        </w:rPr>
        <w:t xml:space="preserve">The Scope Statement</w:t>
      </w:r>
    </w:p>
    <w:p>
      <w:pPr>
        <w:spacing w:after="80"/>
      </w:pPr>
      <w:r>
        <w:t xml:space="preserve"/>
      </w:r>
    </w:p>
    <w:p>
      <w:pPr>
        <w:spacing w:after="160" w:line="320"/>
        <w:jc w:val="both"/>
      </w:pPr>
      <w:r>
        <w:rPr>
          <w:rFonts w:ascii="Georgia" w:cs="Georgia" w:eastAsia="Georgia" w:hAnsi="Georgia"/>
          <w:color w:val="111827"/>
          <w:sz w:val="22"/>
          <w:szCs w:val="22"/>
        </w:rPr>
        <w:t xml:space="preserve">The six dimensions above feed into a single formal scope statement — a controlled document that will be reviewed by auditors and must be available as documented information per Clause 4.3. A well-written scope statement is specific, unambiguous, and covers both inclusions and exclusions with their rationale.</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F766E" w:sz="1"/>
              <w:left w:val="single" w:color="0F766E" w:sz="12"/>
              <w:bottom w:val="single" w:color="0F766E" w:sz="1"/>
              <w:right w:val="single" w:color="0F766E" w:sz="1"/>
            </w:tcBorders>
            <w:shd w:fill="F0FDFA" w:val="clear"/>
            <w:tcMar>
              <w:top w:type="dxa" w:w="140"/>
              <w:left w:type="dxa" w:w="200"/>
              <w:bottom w:type="dxa" w:w="140"/>
              <w:right w:type="dxa" w:w="160"/>
            </w:tcMar>
          </w:tcPr>
          <w:p>
            <w:r>
              <w:rPr>
                <w:rFonts w:ascii="Georgia" w:cs="Georgia" w:eastAsia="Georgia" w:hAnsi="Georgia"/>
                <w:i/>
                <w:iCs/>
                <w:color w:val="0F766E"/>
                <w:sz w:val="21"/>
                <w:szCs w:val="21"/>
              </w:rPr>
              <w:t xml:space="preserve">Sample scope statement structure: 'The ISMS covers [specific services/products] delivered by [organization name], including the design, development, operation, and support activities performed by [specific teams/departments]. The ISMS boundary includes [physical locations or remote environments], [production infrastructure hosted on X], and [key supplier interfaces]. The following are excluded from this ISMS scope: [named exclusions with brief rationale for each].' The scope statement should be 1–3 paragraphs — specific enough to be auditable, concise enough to be actionable.</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Building the Project Plan</w:t>
      </w:r>
    </w:p>
    <w:p>
      <w:pPr>
        <w:spacing w:after="80"/>
      </w:pPr>
      <w:r>
        <w:t xml:space="preserve"/>
      </w:r>
    </w:p>
    <w:p>
      <w:pPr>
        <w:spacing w:after="160" w:line="320"/>
        <w:jc w:val="both"/>
      </w:pPr>
      <w:r>
        <w:rPr>
          <w:rFonts w:ascii="Georgia" w:cs="Georgia" w:eastAsia="Georgia" w:hAnsi="Georgia"/>
          <w:color w:val="111827"/>
          <w:sz w:val="22"/>
          <w:szCs w:val="22"/>
        </w:rPr>
        <w:t xml:space="preserve">A realistic ISO 27001 project plan has four defining characteristics: activities mapped to specific outputs, time estimates based on available resource (not theoretical capacity), dependencies clearly identified, and milestones tied to decisions rather than just dates. The plan must also account for the organizational realities that every implementation encounters — competing priorities, staff turnover, delayed approvals, and the inevitable discovery during the gap assessment that the baseline is lower than assumed.</w:t>
      </w:r>
    </w:p>
    <w:p>
      <w:pPr>
        <w:spacing w:after="80"/>
      </w:pPr>
      <w:r>
        <w:t xml:space="preserve"/>
      </w:r>
    </w:p>
    <w:p>
      <w:pPr>
        <w:spacing w:after="160" w:line="320"/>
        <w:jc w:val="both"/>
      </w:pPr>
      <w:r>
        <w:rPr>
          <w:rFonts w:ascii="Georgia" w:cs="Georgia" w:eastAsia="Georgia" w:hAnsi="Georgia"/>
          <w:color w:val="111827"/>
          <w:sz w:val="22"/>
          <w:szCs w:val="22"/>
        </w:rPr>
        <w:t xml:space="preserve">The five-phase timeline below provides a full activity-level breakdown for a focused-scope implementation. Timeline estimates assume an ISMS Lead at 60–70% FTE with adequate cross-functional support. Organizations with lower resourcing or broader scope should extend each phase proportionally — a common error is compressing the plan to fit a desired certification date rather than building a realistic plan and then optimizing resource allocation to achieve it.</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BEAFE" w:sz="1"/>
              <w:left w:val="single" w:color="DBEAFE" w:sz="1"/>
              <w:bottom w:val="single" w:color="DBEAFE" w:sz="1"/>
              <w:right w:val="single" w:color="DBEAFE" w:sz="1"/>
            </w:tcBorders>
            <w:shd w:fill="1B3A5C" w:val="clear"/>
            <w:tcMar>
              <w:top w:type="dxa" w:w="80"/>
              <w:left w:type="dxa" w:w="130"/>
              <w:bottom w:type="dxa" w:w="80"/>
              <w:right w:type="dxa" w:w="130"/>
            </w:tcMar>
          </w:tcPr>
          <w:p>
            <w:r>
              <w:rPr>
                <w:rFonts w:ascii="Arial" w:cs="Arial" w:eastAsia="Arial" w:hAnsi="Arial"/>
                <w:b/>
                <w:bCs/>
                <w:color w:val="FFFFFF"/>
                <w:sz w:val="20"/>
                <w:szCs w:val="20"/>
              </w:rPr>
              <w:t xml:space="preserve">Phase 1: Initiate  ·  </w:t>
            </w:r>
            <w:r>
              <w:rPr>
                <w:rFonts w:ascii="Georgia" w:cs="Georgia" w:eastAsia="Georgia" w:hAnsi="Georgia"/>
                <w:color w:val="D1FAE5"/>
                <w:sz w:val="19"/>
                <w:szCs w:val="19"/>
              </w:rPr>
              <w:t xml:space="preserve">Weeks 1–4</w:t>
            </w:r>
            <w:r>
              <w:rPr>
                <w:rFonts w:ascii="Arial" w:cs="Arial" w:eastAsia="Arial" w:hAnsi="Arial"/>
                <w:color w:val="D1FAE5"/>
                <w:sz w:val="18"/>
                <w:szCs w:val="18"/>
              </w:rPr>
              <w:t xml:space="preserve">  ·  Time commitment: </w:t>
            </w:r>
            <w:r>
              <w:rPr>
                <w:rFonts w:ascii="Georgia" w:cs="Georgia" w:eastAsia="Georgia" w:hAnsi="Georgia"/>
                <w:color w:val="D1FAE5"/>
                <w:sz w:val="18"/>
                <w:szCs w:val="18"/>
              </w:rPr>
              <w:t xml:space="preserve">ISMS Lead: 80% | Sponsor: 20%</w:t>
            </w:r>
          </w:p>
        </w:tc>
      </w:tr>
      <w:tr>
        <w:tc>
          <w:tcPr>
            <w:tcW w:type="dxa" w:w="9360"/>
            <w:tcBorders>
              <w:top w:val="none" w:color="FFFFFF" w:sz="0"/>
              <w:left w:val="single" w:color="DBEAFE" w:sz="1"/>
              <w:bottom w:val="single" w:color="DBEAFE" w:sz="1"/>
              <w:right w:val="single" w:color="DBEAFE" w:sz="1"/>
            </w:tcBorders>
            <w:shd w:fill="FFFFFF" w:val="clear"/>
            <w:tcMar>
              <w:top w:type="dxa" w:w="100"/>
              <w:left w:type="dxa" w:w="130"/>
              <w:bottom w:type="dxa" w:w="80"/>
              <w:right w:type="dxa" w:w="130"/>
            </w:tcMar>
          </w:tcPr>
          <w:p>
            <w:pPr>
              <w:pStyle w:val="ListParagraph"/>
              <w:numPr>
                <w:ilvl w:val="0"/>
                <w:numId w:val="2"/>
              </w:numPr>
              <w:spacing w:after="80"/>
            </w:pPr>
            <w:r>
              <w:rPr>
                <w:rFonts w:ascii="Georgia" w:cs="Georgia" w:eastAsia="Georgia" w:hAnsi="Georgia"/>
                <w:color w:val="111827"/>
                <w:sz w:val="20"/>
                <w:szCs w:val="20"/>
              </w:rPr>
              <w:t xml:space="preserve">Secure formal executive mandate and sponsorship</w:t>
            </w:r>
          </w:p>
          <w:p>
            <w:pPr>
              <w:pStyle w:val="ListParagraph"/>
              <w:numPr>
                <w:ilvl w:val="0"/>
                <w:numId w:val="2"/>
              </w:numPr>
              <w:spacing w:after="80"/>
            </w:pPr>
            <w:r>
              <w:rPr>
                <w:rFonts w:ascii="Georgia" w:cs="Georgia" w:eastAsia="Georgia" w:hAnsi="Georgia"/>
                <w:color w:val="111827"/>
                <w:sz w:val="20"/>
                <w:szCs w:val="20"/>
              </w:rPr>
              <w:t xml:space="preserve">Establish implementation team and assign roles</w:t>
            </w:r>
          </w:p>
          <w:p>
            <w:pPr>
              <w:pStyle w:val="ListParagraph"/>
              <w:numPr>
                <w:ilvl w:val="0"/>
                <w:numId w:val="2"/>
              </w:numPr>
              <w:spacing w:after="80"/>
            </w:pPr>
            <w:r>
              <w:rPr>
                <w:rFonts w:ascii="Georgia" w:cs="Georgia" w:eastAsia="Georgia" w:hAnsi="Georgia"/>
                <w:color w:val="111827"/>
                <w:sz w:val="20"/>
                <w:szCs w:val="20"/>
              </w:rPr>
              <w:t xml:space="preserve">Define provisional ISMS scope (refine after gap assessment)</w:t>
            </w:r>
          </w:p>
          <w:p>
            <w:pPr>
              <w:pStyle w:val="ListParagraph"/>
              <w:numPr>
                <w:ilvl w:val="0"/>
                <w:numId w:val="2"/>
              </w:numPr>
              <w:spacing w:after="80"/>
            </w:pPr>
            <w:r>
              <w:rPr>
                <w:rFonts w:ascii="Georgia" w:cs="Georgia" w:eastAsia="Georgia" w:hAnsi="Georgia"/>
                <w:color w:val="111827"/>
                <w:sz w:val="20"/>
                <w:szCs w:val="20"/>
              </w:rPr>
              <w:t xml:space="preserve">Conduct stakeholder briefing — business units, IT, legal</w:t>
            </w:r>
          </w:p>
          <w:p>
            <w:pPr>
              <w:pStyle w:val="ListParagraph"/>
              <w:numPr>
                <w:ilvl w:val="0"/>
                <w:numId w:val="2"/>
              </w:numPr>
              <w:spacing w:after="80"/>
            </w:pPr>
            <w:r>
              <w:rPr>
                <w:rFonts w:ascii="Georgia" w:cs="Georgia" w:eastAsia="Georgia" w:hAnsi="Georgia"/>
                <w:color w:val="111827"/>
                <w:sz w:val="20"/>
                <w:szCs w:val="20"/>
              </w:rPr>
              <w:t xml:space="preserve">Select and onboard GRC platform (e.g. Bitlion)</w:t>
            </w:r>
          </w:p>
          <w:p>
            <w:pPr>
              <w:pStyle w:val="ListParagraph"/>
              <w:numPr>
                <w:ilvl w:val="0"/>
                <w:numId w:val="2"/>
              </w:numPr>
              <w:spacing w:after="80"/>
            </w:pPr>
            <w:r>
              <w:rPr>
                <w:rFonts w:ascii="Georgia" w:cs="Georgia" w:eastAsia="Georgia" w:hAnsi="Georgia"/>
                <w:color w:val="111827"/>
                <w:sz w:val="20"/>
                <w:szCs w:val="20"/>
              </w:rPr>
              <w:t xml:space="preserve">Identify and engage certification body (initial scoping conversation)</w:t>
            </w:r>
          </w:p>
          <w:p>
            <w:pPr>
              <w:pStyle w:val="ListParagraph"/>
              <w:numPr>
                <w:ilvl w:val="0"/>
                <w:numId w:val="2"/>
              </w:numPr>
              <w:spacing w:after="80"/>
            </w:pPr>
            <w:r>
              <w:rPr>
                <w:rFonts w:ascii="Georgia" w:cs="Georgia" w:eastAsia="Georgia" w:hAnsi="Georgia"/>
                <w:color w:val="111827"/>
                <w:sz w:val="20"/>
                <w:szCs w:val="20"/>
              </w:rPr>
              <w:t xml:space="preserve">Establish project governance — steering committee, reporting cadence</w:t>
            </w:r>
          </w:p>
          <w:p>
            <w:pPr>
              <w:spacing w:after="60"/>
            </w:pPr>
            <w:r>
              <w:t xml:space="preserve"/>
            </w:r>
          </w:p>
          <w:p>
            <w:r>
              <w:rPr>
                <w:rFonts w:ascii="Arial" w:cs="Arial" w:eastAsia="Arial" w:hAnsi="Arial"/>
                <w:b/>
                <w:bCs/>
                <w:color w:val="065F46"/>
                <w:sz w:val="19"/>
                <w:szCs w:val="19"/>
              </w:rPr>
              <w:t xml:space="preserve">Key outputs: </w:t>
            </w:r>
            <w:r>
              <w:rPr>
                <w:rFonts w:ascii="Georgia" w:cs="Georgia" w:eastAsia="Georgia" w:hAnsi="Georgia"/>
                <w:i/>
                <w:iCs/>
                <w:color w:val="065F46"/>
                <w:sz w:val="19"/>
                <w:szCs w:val="19"/>
              </w:rPr>
              <w:t xml:space="preserve">Signed project charter. Provisional scope statement. Team RACI. Steering committee calendar.</w:t>
            </w:r>
          </w:p>
        </w:tc>
      </w:tr>
      <w:tr>
        <w:tc>
          <w:tcPr>
            <w:tcW w:type="dxa" w:w="9360"/>
            <w:tcBorders>
              <w:top w:val="single" w:color="DBEAFE" w:sz="1"/>
              <w:left w:val="single" w:color="DBEAFE" w:sz="1"/>
              <w:bottom w:val="single" w:color="DBEAFE" w:sz="1"/>
              <w:right w:val="single" w:color="DBEAFE" w:sz="1"/>
            </w:tcBorders>
            <w:shd w:fill="2563A8" w:val="clear"/>
            <w:tcMar>
              <w:top w:type="dxa" w:w="80"/>
              <w:left w:type="dxa" w:w="130"/>
              <w:bottom w:type="dxa" w:w="80"/>
              <w:right w:type="dxa" w:w="130"/>
            </w:tcMar>
          </w:tcPr>
          <w:p>
            <w:r>
              <w:rPr>
                <w:rFonts w:ascii="Arial" w:cs="Arial" w:eastAsia="Arial" w:hAnsi="Arial"/>
                <w:b/>
                <w:bCs/>
                <w:color w:val="FFFFFF"/>
                <w:sz w:val="20"/>
                <w:szCs w:val="20"/>
              </w:rPr>
              <w:t xml:space="preserve">Phase 2: Assess  ·  </w:t>
            </w:r>
            <w:r>
              <w:rPr>
                <w:rFonts w:ascii="Georgia" w:cs="Georgia" w:eastAsia="Georgia" w:hAnsi="Georgia"/>
                <w:color w:val="D1FAE5"/>
                <w:sz w:val="19"/>
                <w:szCs w:val="19"/>
              </w:rPr>
              <w:t xml:space="preserve">Weeks 5–10</w:t>
            </w:r>
            <w:r>
              <w:rPr>
                <w:rFonts w:ascii="Arial" w:cs="Arial" w:eastAsia="Arial" w:hAnsi="Arial"/>
                <w:color w:val="D1FAE5"/>
                <w:sz w:val="18"/>
                <w:szCs w:val="18"/>
              </w:rPr>
              <w:t xml:space="preserve">  ·  Time commitment: </w:t>
            </w:r>
            <w:r>
              <w:rPr>
                <w:rFonts w:ascii="Georgia" w:cs="Georgia" w:eastAsia="Georgia" w:hAnsi="Georgia"/>
                <w:color w:val="D1FAE5"/>
                <w:sz w:val="18"/>
                <w:szCs w:val="18"/>
              </w:rPr>
              <w:t xml:space="preserve">ISMS Lead: 80% | IT: 30%
BU Reps: 20%</w:t>
            </w:r>
          </w:p>
        </w:tc>
      </w:tr>
      <w:tr>
        <w:tc>
          <w:tcPr>
            <w:tcW w:type="dxa" w:w="9360"/>
            <w:tcBorders>
              <w:top w:val="none" w:color="FFFFFF" w:sz="0"/>
              <w:left w:val="single" w:color="DBEAFE" w:sz="1"/>
              <w:bottom w:val="single" w:color="DBEAFE" w:sz="1"/>
              <w:right w:val="single" w:color="DBEAFE" w:sz="1"/>
            </w:tcBorders>
            <w:shd w:fill="FFFFFF" w:val="clear"/>
            <w:tcMar>
              <w:top w:type="dxa" w:w="100"/>
              <w:left w:type="dxa" w:w="130"/>
              <w:bottom w:type="dxa" w:w="80"/>
              <w:right w:type="dxa" w:w="130"/>
            </w:tcMar>
          </w:tcPr>
          <w:p>
            <w:pPr>
              <w:pStyle w:val="ListParagraph"/>
              <w:numPr>
                <w:ilvl w:val="0"/>
                <w:numId w:val="2"/>
              </w:numPr>
              <w:spacing w:after="80"/>
            </w:pPr>
            <w:r>
              <w:rPr>
                <w:rFonts w:ascii="Georgia" w:cs="Georgia" w:eastAsia="Georgia" w:hAnsi="Georgia"/>
                <w:color w:val="111827"/>
                <w:sz w:val="20"/>
                <w:szCs w:val="20"/>
              </w:rPr>
              <w:t xml:space="preserve">Complete context analysis (Clause 4.1) — internal and external issues</w:t>
            </w:r>
          </w:p>
          <w:p>
            <w:pPr>
              <w:pStyle w:val="ListParagraph"/>
              <w:numPr>
                <w:ilvl w:val="0"/>
                <w:numId w:val="2"/>
              </w:numPr>
              <w:spacing w:after="80"/>
            </w:pPr>
            <w:r>
              <w:rPr>
                <w:rFonts w:ascii="Georgia" w:cs="Georgia" w:eastAsia="Georgia" w:hAnsi="Georgia"/>
                <w:color w:val="111827"/>
                <w:sz w:val="20"/>
                <w:szCs w:val="20"/>
              </w:rPr>
              <w:t xml:space="preserve">Build interested parties register (Clause 4.2)</w:t>
            </w:r>
          </w:p>
          <w:p>
            <w:pPr>
              <w:pStyle w:val="ListParagraph"/>
              <w:numPr>
                <w:ilvl w:val="0"/>
                <w:numId w:val="2"/>
              </w:numPr>
              <w:spacing w:after="80"/>
            </w:pPr>
            <w:r>
              <w:rPr>
                <w:rFonts w:ascii="Georgia" w:cs="Georgia" w:eastAsia="Georgia" w:hAnsi="Georgia"/>
                <w:color w:val="111827"/>
                <w:sz w:val="20"/>
                <w:szCs w:val="20"/>
              </w:rPr>
              <w:t xml:space="preserve">Finalise ISMS scope statement (Clause 4.3)</w:t>
            </w:r>
          </w:p>
          <w:p>
            <w:pPr>
              <w:pStyle w:val="ListParagraph"/>
              <w:numPr>
                <w:ilvl w:val="0"/>
                <w:numId w:val="2"/>
              </w:numPr>
              <w:spacing w:after="80"/>
            </w:pPr>
            <w:r>
              <w:rPr>
                <w:rFonts w:ascii="Georgia" w:cs="Georgia" w:eastAsia="Georgia" w:hAnsi="Georgia"/>
                <w:color w:val="111827"/>
                <w:sz w:val="20"/>
                <w:szCs w:val="20"/>
              </w:rPr>
              <w:t xml:space="preserve">Conduct gap assessment against all ISO 27001:2022 clauses and Annex A controls</w:t>
            </w:r>
          </w:p>
          <w:p>
            <w:pPr>
              <w:pStyle w:val="ListParagraph"/>
              <w:numPr>
                <w:ilvl w:val="0"/>
                <w:numId w:val="2"/>
              </w:numPr>
              <w:spacing w:after="80"/>
            </w:pPr>
            <w:r>
              <w:rPr>
                <w:rFonts w:ascii="Georgia" w:cs="Georgia" w:eastAsia="Georgia" w:hAnsi="Georgia"/>
                <w:color w:val="111827"/>
                <w:sz w:val="20"/>
                <w:szCs w:val="20"/>
              </w:rPr>
              <w:t xml:space="preserve">Produce gap assessment report with prioritised remediation roadmap</w:t>
            </w:r>
          </w:p>
          <w:p>
            <w:pPr>
              <w:pStyle w:val="ListParagraph"/>
              <w:numPr>
                <w:ilvl w:val="0"/>
                <w:numId w:val="2"/>
              </w:numPr>
              <w:spacing w:after="80"/>
            </w:pPr>
            <w:r>
              <w:rPr>
                <w:rFonts w:ascii="Georgia" w:cs="Georgia" w:eastAsia="Georgia" w:hAnsi="Georgia"/>
                <w:color w:val="111827"/>
                <w:sz w:val="20"/>
                <w:szCs w:val="20"/>
              </w:rPr>
              <w:t xml:space="preserve">Brief executive sponsor on gap findings and resource implications</w:t>
            </w:r>
          </w:p>
          <w:p>
            <w:pPr>
              <w:pStyle w:val="ListParagraph"/>
              <w:numPr>
                <w:ilvl w:val="0"/>
                <w:numId w:val="2"/>
              </w:numPr>
              <w:spacing w:after="80"/>
            </w:pPr>
            <w:r>
              <w:rPr>
                <w:rFonts w:ascii="Georgia" w:cs="Georgia" w:eastAsia="Georgia" w:hAnsi="Georgia"/>
                <w:color w:val="111827"/>
                <w:sz w:val="20"/>
                <w:szCs w:val="20"/>
              </w:rPr>
              <w:t xml:space="preserve">Complete initial asset inventory for risk assessment preparation</w:t>
            </w:r>
          </w:p>
          <w:p>
            <w:pPr>
              <w:spacing w:after="60"/>
            </w:pPr>
            <w:r>
              <w:t xml:space="preserve"/>
            </w:r>
          </w:p>
          <w:p>
            <w:r>
              <w:rPr>
                <w:rFonts w:ascii="Arial" w:cs="Arial" w:eastAsia="Arial" w:hAnsi="Arial"/>
                <w:b/>
                <w:bCs/>
                <w:color w:val="065F46"/>
                <w:sz w:val="19"/>
                <w:szCs w:val="19"/>
              </w:rPr>
              <w:t xml:space="preserve">Key outputs: </w:t>
            </w:r>
            <w:r>
              <w:rPr>
                <w:rFonts w:ascii="Georgia" w:cs="Georgia" w:eastAsia="Georgia" w:hAnsi="Georgia"/>
                <w:i/>
                <w:iCs/>
                <w:color w:val="065F46"/>
                <w:sz w:val="19"/>
                <w:szCs w:val="19"/>
              </w:rPr>
              <w:t xml:space="preserve">Context analysis document. Interested parties register. Final scope statement. Gap assessment report with gap heat map.</w:t>
            </w:r>
          </w:p>
        </w:tc>
      </w:tr>
      <w:tr>
        <w:tc>
          <w:tcPr>
            <w:tcW w:type="dxa" w:w="9360"/>
            <w:tcBorders>
              <w:top w:val="single" w:color="DBEAFE" w:sz="1"/>
              <w:left w:val="single" w:color="DBEAFE" w:sz="1"/>
              <w:bottom w:val="single" w:color="DBEAFE" w:sz="1"/>
              <w:right w:val="single" w:color="DBEAFE" w:sz="1"/>
            </w:tcBorders>
            <w:shd w:fill="0F766E" w:val="clear"/>
            <w:tcMar>
              <w:top w:type="dxa" w:w="80"/>
              <w:left w:type="dxa" w:w="130"/>
              <w:bottom w:type="dxa" w:w="80"/>
              <w:right w:type="dxa" w:w="130"/>
            </w:tcMar>
          </w:tcPr>
          <w:p>
            <w:r>
              <w:rPr>
                <w:rFonts w:ascii="Arial" w:cs="Arial" w:eastAsia="Arial" w:hAnsi="Arial"/>
                <w:b/>
                <w:bCs/>
                <w:color w:val="FFFFFF"/>
                <w:sz w:val="20"/>
                <w:szCs w:val="20"/>
              </w:rPr>
              <w:t xml:space="preserve">Phase 3: Build  ·  </w:t>
            </w:r>
            <w:r>
              <w:rPr>
                <w:rFonts w:ascii="Georgia" w:cs="Georgia" w:eastAsia="Georgia" w:hAnsi="Georgia"/>
                <w:color w:val="D1FAE5"/>
                <w:sz w:val="19"/>
                <w:szCs w:val="19"/>
              </w:rPr>
              <w:t xml:space="preserve">Weeks 11–22</w:t>
            </w:r>
            <w:r>
              <w:rPr>
                <w:rFonts w:ascii="Arial" w:cs="Arial" w:eastAsia="Arial" w:hAnsi="Arial"/>
                <w:color w:val="D1FAE5"/>
                <w:sz w:val="18"/>
                <w:szCs w:val="18"/>
              </w:rPr>
              <w:t xml:space="preserve">  ·  Time commitment: </w:t>
            </w:r>
            <w:r>
              <w:rPr>
                <w:rFonts w:ascii="Georgia" w:cs="Georgia" w:eastAsia="Georgia" w:hAnsi="Georgia"/>
                <w:color w:val="D1FAE5"/>
                <w:sz w:val="18"/>
                <w:szCs w:val="18"/>
              </w:rPr>
              <w:t xml:space="preserve">ISMS Lead: 80% | IT: 40%
Legal: 20%</w:t>
            </w:r>
          </w:p>
        </w:tc>
      </w:tr>
      <w:tr>
        <w:tc>
          <w:tcPr>
            <w:tcW w:type="dxa" w:w="9360"/>
            <w:tcBorders>
              <w:top w:val="none" w:color="FFFFFF" w:sz="0"/>
              <w:left w:val="single" w:color="DBEAFE" w:sz="1"/>
              <w:bottom w:val="single" w:color="DBEAFE" w:sz="1"/>
              <w:right w:val="single" w:color="DBEAFE" w:sz="1"/>
            </w:tcBorders>
            <w:shd w:fill="FFFFFF" w:val="clear"/>
            <w:tcMar>
              <w:top w:type="dxa" w:w="100"/>
              <w:left w:type="dxa" w:w="130"/>
              <w:bottom w:type="dxa" w:w="80"/>
              <w:right w:type="dxa" w:w="130"/>
            </w:tcMar>
          </w:tcPr>
          <w:p>
            <w:pPr>
              <w:pStyle w:val="ListParagraph"/>
              <w:numPr>
                <w:ilvl w:val="0"/>
                <w:numId w:val="2"/>
              </w:numPr>
              <w:spacing w:after="80"/>
            </w:pPr>
            <w:r>
              <w:rPr>
                <w:rFonts w:ascii="Georgia" w:cs="Georgia" w:eastAsia="Georgia" w:hAnsi="Georgia"/>
                <w:color w:val="111827"/>
                <w:sz w:val="20"/>
                <w:szCs w:val="20"/>
              </w:rPr>
              <w:t xml:space="preserve">Define and document risk assessment methodology</w:t>
            </w:r>
          </w:p>
          <w:p>
            <w:pPr>
              <w:pStyle w:val="ListParagraph"/>
              <w:numPr>
                <w:ilvl w:val="0"/>
                <w:numId w:val="2"/>
              </w:numPr>
              <w:spacing w:after="80"/>
            </w:pPr>
            <w:r>
              <w:rPr>
                <w:rFonts w:ascii="Georgia" w:cs="Georgia" w:eastAsia="Georgia" w:hAnsi="Georgia"/>
                <w:color w:val="111827"/>
                <w:sz w:val="20"/>
                <w:szCs w:val="20"/>
              </w:rPr>
              <w:t xml:space="preserve">Conduct full information security risk assessment</w:t>
            </w:r>
          </w:p>
          <w:p>
            <w:pPr>
              <w:pStyle w:val="ListParagraph"/>
              <w:numPr>
                <w:ilvl w:val="0"/>
                <w:numId w:val="2"/>
              </w:numPr>
              <w:spacing w:after="80"/>
            </w:pPr>
            <w:r>
              <w:rPr>
                <w:rFonts w:ascii="Georgia" w:cs="Georgia" w:eastAsia="Georgia" w:hAnsi="Georgia"/>
                <w:color w:val="111827"/>
                <w:sz w:val="20"/>
                <w:szCs w:val="20"/>
              </w:rPr>
              <w:t xml:space="preserve">Produce risk register with risk owner assignments</w:t>
            </w:r>
          </w:p>
          <w:p>
            <w:pPr>
              <w:pStyle w:val="ListParagraph"/>
              <w:numPr>
                <w:ilvl w:val="0"/>
                <w:numId w:val="2"/>
              </w:numPr>
              <w:spacing w:after="80"/>
            </w:pPr>
            <w:r>
              <w:rPr>
                <w:rFonts w:ascii="Georgia" w:cs="Georgia" w:eastAsia="Georgia" w:hAnsi="Georgia"/>
                <w:color w:val="111827"/>
                <w:sz w:val="20"/>
                <w:szCs w:val="20"/>
              </w:rPr>
              <w:t xml:space="preserve">Complete risk treatment decisions and initial Statement of Applicability</w:t>
            </w:r>
          </w:p>
          <w:p>
            <w:pPr>
              <w:pStyle w:val="ListParagraph"/>
              <w:numPr>
                <w:ilvl w:val="0"/>
                <w:numId w:val="2"/>
              </w:numPr>
              <w:spacing w:after="80"/>
            </w:pPr>
            <w:r>
              <w:rPr>
                <w:rFonts w:ascii="Georgia" w:cs="Georgia" w:eastAsia="Georgia" w:hAnsi="Georgia"/>
                <w:color w:val="111827"/>
                <w:sz w:val="20"/>
                <w:szCs w:val="20"/>
              </w:rPr>
              <w:t xml:space="preserve">Develop risk treatment plan with control implementation schedule</w:t>
            </w:r>
          </w:p>
          <w:p>
            <w:pPr>
              <w:pStyle w:val="ListParagraph"/>
              <w:numPr>
                <w:ilvl w:val="0"/>
                <w:numId w:val="2"/>
              </w:numPr>
              <w:spacing w:after="80"/>
            </w:pPr>
            <w:r>
              <w:rPr>
                <w:rFonts w:ascii="Georgia" w:cs="Georgia" w:eastAsia="Georgia" w:hAnsi="Georgia"/>
                <w:color w:val="111827"/>
                <w:sz w:val="20"/>
                <w:szCs w:val="20"/>
              </w:rPr>
              <w:t xml:space="preserve">Draft and approve information security policy suite</w:t>
            </w:r>
          </w:p>
          <w:p>
            <w:pPr>
              <w:pStyle w:val="ListParagraph"/>
              <w:numPr>
                <w:ilvl w:val="0"/>
                <w:numId w:val="2"/>
              </w:numPr>
              <w:spacing w:after="80"/>
            </w:pPr>
            <w:r>
              <w:rPr>
                <w:rFonts w:ascii="Georgia" w:cs="Georgia" w:eastAsia="Georgia" w:hAnsi="Georgia"/>
                <w:color w:val="111827"/>
                <w:sz w:val="20"/>
                <w:szCs w:val="20"/>
              </w:rPr>
              <w:t xml:space="preserve">Develop mandatory supporting procedures (access control, incident management, etc.)</w:t>
            </w:r>
          </w:p>
          <w:p>
            <w:pPr>
              <w:pStyle w:val="ListParagraph"/>
              <w:numPr>
                <w:ilvl w:val="0"/>
                <w:numId w:val="2"/>
              </w:numPr>
              <w:spacing w:after="80"/>
            </w:pPr>
            <w:r>
              <w:rPr>
                <w:rFonts w:ascii="Georgia" w:cs="Georgia" w:eastAsia="Georgia" w:hAnsi="Georgia"/>
                <w:color w:val="111827"/>
                <w:sz w:val="20"/>
                <w:szCs w:val="20"/>
              </w:rPr>
              <w:t xml:space="preserve">Set information security objectives (Clause 6.2)</w:t>
            </w:r>
          </w:p>
          <w:p>
            <w:pPr>
              <w:pStyle w:val="ListParagraph"/>
              <w:numPr>
                <w:ilvl w:val="0"/>
                <w:numId w:val="2"/>
              </w:numPr>
              <w:spacing w:after="80"/>
            </w:pPr>
            <w:r>
              <w:rPr>
                <w:rFonts w:ascii="Georgia" w:cs="Georgia" w:eastAsia="Georgia" w:hAnsi="Georgia"/>
                <w:color w:val="111827"/>
                <w:sz w:val="20"/>
                <w:szCs w:val="20"/>
              </w:rPr>
              <w:t xml:space="preserve">Design and launch security awareness training program</w:t>
            </w:r>
          </w:p>
          <w:p>
            <w:pPr>
              <w:spacing w:after="60"/>
            </w:pPr>
            <w:r>
              <w:t xml:space="preserve"/>
            </w:r>
          </w:p>
          <w:p>
            <w:r>
              <w:rPr>
                <w:rFonts w:ascii="Arial" w:cs="Arial" w:eastAsia="Arial" w:hAnsi="Arial"/>
                <w:b/>
                <w:bCs/>
                <w:color w:val="065F46"/>
                <w:sz w:val="19"/>
                <w:szCs w:val="19"/>
              </w:rPr>
              <w:t xml:space="preserve">Key outputs: </w:t>
            </w:r>
            <w:r>
              <w:rPr>
                <w:rFonts w:ascii="Georgia" w:cs="Georgia" w:eastAsia="Georgia" w:hAnsi="Georgia"/>
                <w:i/>
                <w:iCs/>
                <w:color w:val="065F46"/>
                <w:sz w:val="19"/>
                <w:szCs w:val="19"/>
              </w:rPr>
              <w:t xml:space="preserve">Risk methodology document. Risk register. SoA v1.0. Risk treatment plan. Full policy suite. IS objectives register.</w:t>
            </w:r>
          </w:p>
        </w:tc>
      </w:tr>
      <w:tr>
        <w:tc>
          <w:tcPr>
            <w:tcW w:type="dxa" w:w="9360"/>
            <w:tcBorders>
              <w:top w:val="single" w:color="DBEAFE" w:sz="1"/>
              <w:left w:val="single" w:color="DBEAFE" w:sz="1"/>
              <w:bottom w:val="single" w:color="DBEAFE" w:sz="1"/>
              <w:right w:val="single" w:color="DBEAFE" w:sz="1"/>
            </w:tcBorders>
            <w:shd w:fill="3730A3" w:val="clear"/>
            <w:tcMar>
              <w:top w:type="dxa" w:w="80"/>
              <w:left w:type="dxa" w:w="130"/>
              <w:bottom w:type="dxa" w:w="80"/>
              <w:right w:type="dxa" w:w="130"/>
            </w:tcMar>
          </w:tcPr>
          <w:p>
            <w:r>
              <w:rPr>
                <w:rFonts w:ascii="Arial" w:cs="Arial" w:eastAsia="Arial" w:hAnsi="Arial"/>
                <w:b/>
                <w:bCs/>
                <w:color w:val="FFFFFF"/>
                <w:sz w:val="20"/>
                <w:szCs w:val="20"/>
              </w:rPr>
              <w:t xml:space="preserve">Phase 4: Implement  ·  </w:t>
            </w:r>
            <w:r>
              <w:rPr>
                <w:rFonts w:ascii="Georgia" w:cs="Georgia" w:eastAsia="Georgia" w:hAnsi="Georgia"/>
                <w:color w:val="D1FAE5"/>
                <w:sz w:val="19"/>
                <w:szCs w:val="19"/>
              </w:rPr>
              <w:t xml:space="preserve">Weeks 23–36</w:t>
            </w:r>
            <w:r>
              <w:rPr>
                <w:rFonts w:ascii="Arial" w:cs="Arial" w:eastAsia="Arial" w:hAnsi="Arial"/>
                <w:color w:val="D1FAE5"/>
                <w:sz w:val="18"/>
                <w:szCs w:val="18"/>
              </w:rPr>
              <w:t xml:space="preserve">  ·  Time commitment: </w:t>
            </w:r>
            <w:r>
              <w:rPr>
                <w:rFonts w:ascii="Georgia" w:cs="Georgia" w:eastAsia="Georgia" w:hAnsi="Georgia"/>
                <w:color w:val="D1FAE5"/>
                <w:sz w:val="18"/>
                <w:szCs w:val="18"/>
              </w:rPr>
              <w:t xml:space="preserve">IT: 60% | ISMS Lead: 60%
All staff: 10%</w:t>
            </w:r>
          </w:p>
        </w:tc>
      </w:tr>
      <w:tr>
        <w:tc>
          <w:tcPr>
            <w:tcW w:type="dxa" w:w="9360"/>
            <w:tcBorders>
              <w:top w:val="none" w:color="FFFFFF" w:sz="0"/>
              <w:left w:val="single" w:color="DBEAFE" w:sz="1"/>
              <w:bottom w:val="single" w:color="DBEAFE" w:sz="1"/>
              <w:right w:val="single" w:color="DBEAFE" w:sz="1"/>
            </w:tcBorders>
            <w:shd w:fill="FFFFFF" w:val="clear"/>
            <w:tcMar>
              <w:top w:type="dxa" w:w="100"/>
              <w:left w:type="dxa" w:w="130"/>
              <w:bottom w:type="dxa" w:w="80"/>
              <w:right w:type="dxa" w:w="130"/>
            </w:tcMar>
          </w:tcPr>
          <w:p>
            <w:pPr>
              <w:pStyle w:val="ListParagraph"/>
              <w:numPr>
                <w:ilvl w:val="0"/>
                <w:numId w:val="2"/>
              </w:numPr>
              <w:spacing w:after="80"/>
            </w:pPr>
            <w:r>
              <w:rPr>
                <w:rFonts w:ascii="Georgia" w:cs="Georgia" w:eastAsia="Georgia" w:hAnsi="Georgia"/>
                <w:color w:val="111827"/>
                <w:sz w:val="20"/>
                <w:szCs w:val="20"/>
              </w:rPr>
              <w:t xml:space="preserve">Implement technical controls per risk treatment plan (MFA, encryption, logging, etc.)</w:t>
            </w:r>
          </w:p>
          <w:p>
            <w:pPr>
              <w:pStyle w:val="ListParagraph"/>
              <w:numPr>
                <w:ilvl w:val="0"/>
                <w:numId w:val="2"/>
              </w:numPr>
              <w:spacing w:after="80"/>
            </w:pPr>
            <w:r>
              <w:rPr>
                <w:rFonts w:ascii="Georgia" w:cs="Georgia" w:eastAsia="Georgia" w:hAnsi="Georgia"/>
                <w:color w:val="111827"/>
                <w:sz w:val="20"/>
                <w:szCs w:val="20"/>
              </w:rPr>
              <w:t xml:space="preserve">Deploy monitoring and alerting infrastructure</w:t>
            </w:r>
          </w:p>
          <w:p>
            <w:pPr>
              <w:pStyle w:val="ListParagraph"/>
              <w:numPr>
                <w:ilvl w:val="0"/>
                <w:numId w:val="2"/>
              </w:numPr>
              <w:spacing w:after="80"/>
            </w:pPr>
            <w:r>
              <w:rPr>
                <w:rFonts w:ascii="Georgia" w:cs="Georgia" w:eastAsia="Georgia" w:hAnsi="Georgia"/>
                <w:color w:val="111827"/>
                <w:sz w:val="20"/>
                <w:szCs w:val="20"/>
              </w:rPr>
              <w:t xml:space="preserve">Establish access review cadence and conduct first review</w:t>
            </w:r>
          </w:p>
          <w:p>
            <w:pPr>
              <w:pStyle w:val="ListParagraph"/>
              <w:numPr>
                <w:ilvl w:val="0"/>
                <w:numId w:val="2"/>
              </w:numPr>
              <w:spacing w:after="80"/>
            </w:pPr>
            <w:r>
              <w:rPr>
                <w:rFonts w:ascii="Georgia" w:cs="Georgia" w:eastAsia="Georgia" w:hAnsi="Georgia"/>
                <w:color w:val="111827"/>
                <w:sz w:val="20"/>
                <w:szCs w:val="20"/>
              </w:rPr>
              <w:t xml:space="preserve">Roll out staff security awareness training — achieve &gt;95% completion</w:t>
            </w:r>
          </w:p>
          <w:p>
            <w:pPr>
              <w:pStyle w:val="ListParagraph"/>
              <w:numPr>
                <w:ilvl w:val="0"/>
                <w:numId w:val="2"/>
              </w:numPr>
              <w:spacing w:after="80"/>
            </w:pPr>
            <w:r>
              <w:rPr>
                <w:rFonts w:ascii="Georgia" w:cs="Georgia" w:eastAsia="Georgia" w:hAnsi="Georgia"/>
                <w:color w:val="111827"/>
                <w:sz w:val="20"/>
                <w:szCs w:val="20"/>
              </w:rPr>
              <w:t xml:space="preserve">Implement supplier security requirements and update contracts</w:t>
            </w:r>
          </w:p>
          <w:p>
            <w:pPr>
              <w:pStyle w:val="ListParagraph"/>
              <w:numPr>
                <w:ilvl w:val="0"/>
                <w:numId w:val="2"/>
              </w:numPr>
              <w:spacing w:after="80"/>
            </w:pPr>
            <w:r>
              <w:rPr>
                <w:rFonts w:ascii="Georgia" w:cs="Georgia" w:eastAsia="Georgia" w:hAnsi="Georgia"/>
                <w:color w:val="111827"/>
                <w:sz w:val="20"/>
                <w:szCs w:val="20"/>
              </w:rPr>
              <w:t xml:space="preserve">Operate incident management process — log and respond to security events</w:t>
            </w:r>
          </w:p>
          <w:p>
            <w:pPr>
              <w:pStyle w:val="ListParagraph"/>
              <w:numPr>
                <w:ilvl w:val="0"/>
                <w:numId w:val="2"/>
              </w:numPr>
              <w:spacing w:after="80"/>
            </w:pPr>
            <w:r>
              <w:rPr>
                <w:rFonts w:ascii="Georgia" w:cs="Georgia" w:eastAsia="Georgia" w:hAnsi="Georgia"/>
                <w:color w:val="111827"/>
                <w:sz w:val="20"/>
                <w:szCs w:val="20"/>
              </w:rPr>
              <w:t xml:space="preserve">Establish ISMS document control and version management</w:t>
            </w:r>
          </w:p>
          <w:p>
            <w:pPr>
              <w:pStyle w:val="ListParagraph"/>
              <w:numPr>
                <w:ilvl w:val="0"/>
                <w:numId w:val="2"/>
              </w:numPr>
              <w:spacing w:after="80"/>
            </w:pPr>
            <w:r>
              <w:rPr>
                <w:rFonts w:ascii="Georgia" w:cs="Georgia" w:eastAsia="Georgia" w:hAnsi="Georgia"/>
                <w:color w:val="111827"/>
                <w:sz w:val="20"/>
                <w:szCs w:val="20"/>
              </w:rPr>
              <w:t xml:space="preserve">Conduct first management review</w:t>
            </w:r>
          </w:p>
          <w:p>
            <w:pPr>
              <w:pStyle w:val="ListParagraph"/>
              <w:numPr>
                <w:ilvl w:val="0"/>
                <w:numId w:val="2"/>
              </w:numPr>
              <w:spacing w:after="80"/>
            </w:pPr>
            <w:r>
              <w:rPr>
                <w:rFonts w:ascii="Georgia" w:cs="Georgia" w:eastAsia="Georgia" w:hAnsi="Georgia"/>
                <w:color w:val="111827"/>
                <w:sz w:val="20"/>
                <w:szCs w:val="20"/>
              </w:rPr>
              <w:t xml:space="preserve">Collect control evidence for all applicable Annex A controls</w:t>
            </w:r>
          </w:p>
          <w:p>
            <w:pPr>
              <w:spacing w:after="60"/>
            </w:pPr>
            <w:r>
              <w:t xml:space="preserve"/>
            </w:r>
          </w:p>
          <w:p>
            <w:r>
              <w:rPr>
                <w:rFonts w:ascii="Arial" w:cs="Arial" w:eastAsia="Arial" w:hAnsi="Arial"/>
                <w:b/>
                <w:bCs/>
                <w:color w:val="065F46"/>
                <w:sz w:val="19"/>
                <w:szCs w:val="19"/>
              </w:rPr>
              <w:t xml:space="preserve">Key outputs: </w:t>
            </w:r>
            <w:r>
              <w:rPr>
                <w:rFonts w:ascii="Georgia" w:cs="Georgia" w:eastAsia="Georgia" w:hAnsi="Georgia"/>
                <w:i/>
                <w:iCs/>
                <w:color w:val="065F46"/>
                <w:sz w:val="19"/>
                <w:szCs w:val="19"/>
              </w:rPr>
              <w:t xml:space="preserve">Control implementation evidence portfolio. Training completion records. Access review records. Management review minutes. Updated SoA with implementation status.</w:t>
            </w:r>
          </w:p>
        </w:tc>
      </w:tr>
      <w:tr>
        <w:tc>
          <w:tcPr>
            <w:tcW w:type="dxa" w:w="9360"/>
            <w:tcBorders>
              <w:top w:val="single" w:color="DBEAFE" w:sz="1"/>
              <w:left w:val="single" w:color="DBEAFE" w:sz="1"/>
              <w:bottom w:val="single" w:color="DBEAFE" w:sz="1"/>
              <w:right w:val="single" w:color="DBEAFE" w:sz="1"/>
            </w:tcBorders>
            <w:shd w:fill="0E9F6E" w:val="clear"/>
            <w:tcMar>
              <w:top w:type="dxa" w:w="80"/>
              <w:left w:type="dxa" w:w="130"/>
              <w:bottom w:type="dxa" w:w="80"/>
              <w:right w:type="dxa" w:w="130"/>
            </w:tcMar>
          </w:tcPr>
          <w:p>
            <w:r>
              <w:rPr>
                <w:rFonts w:ascii="Arial" w:cs="Arial" w:eastAsia="Arial" w:hAnsi="Arial"/>
                <w:b/>
                <w:bCs/>
                <w:color w:val="FFFFFF"/>
                <w:sz w:val="20"/>
                <w:szCs w:val="20"/>
              </w:rPr>
              <w:t xml:space="preserve">Phase 5: Audit &amp; Certify  ·  </w:t>
            </w:r>
            <w:r>
              <w:rPr>
                <w:rFonts w:ascii="Georgia" w:cs="Georgia" w:eastAsia="Georgia" w:hAnsi="Georgia"/>
                <w:color w:val="D1FAE5"/>
                <w:sz w:val="19"/>
                <w:szCs w:val="19"/>
              </w:rPr>
              <w:t xml:space="preserve">Weeks 37–48</w:t>
            </w:r>
            <w:r>
              <w:rPr>
                <w:rFonts w:ascii="Arial" w:cs="Arial" w:eastAsia="Arial" w:hAnsi="Arial"/>
                <w:color w:val="D1FAE5"/>
                <w:sz w:val="18"/>
                <w:szCs w:val="18"/>
              </w:rPr>
              <w:t xml:space="preserve">  ·  Time commitment: </w:t>
            </w:r>
            <w:r>
              <w:rPr>
                <w:rFonts w:ascii="Georgia" w:cs="Georgia" w:eastAsia="Georgia" w:hAnsi="Georgia"/>
                <w:color w:val="D1FAE5"/>
                <w:sz w:val="18"/>
                <w:szCs w:val="18"/>
              </w:rPr>
              <w:t xml:space="preserve">ISMS Lead: 70% | All roles: variable</w:t>
            </w:r>
          </w:p>
        </w:tc>
      </w:tr>
      <w:tr>
        <w:tc>
          <w:tcPr>
            <w:tcW w:type="dxa" w:w="9360"/>
            <w:tcBorders>
              <w:top w:val="none" w:color="FFFFFF" w:sz="0"/>
              <w:left w:val="single" w:color="DBEAFE" w:sz="1"/>
              <w:bottom w:val="single" w:color="DBEAFE" w:sz="1"/>
              <w:right w:val="single" w:color="DBEAFE" w:sz="1"/>
            </w:tcBorders>
            <w:shd w:fill="FFFFFF" w:val="clear"/>
            <w:tcMar>
              <w:top w:type="dxa" w:w="100"/>
              <w:left w:type="dxa" w:w="130"/>
              <w:bottom w:type="dxa" w:w="80"/>
              <w:right w:type="dxa" w:w="130"/>
            </w:tcMar>
          </w:tcPr>
          <w:p>
            <w:pPr>
              <w:pStyle w:val="ListParagraph"/>
              <w:numPr>
                <w:ilvl w:val="0"/>
                <w:numId w:val="2"/>
              </w:numPr>
              <w:spacing w:after="80"/>
            </w:pPr>
            <w:r>
              <w:rPr>
                <w:rFonts w:ascii="Georgia" w:cs="Georgia" w:eastAsia="Georgia" w:hAnsi="Georgia"/>
                <w:color w:val="111827"/>
                <w:sz w:val="20"/>
                <w:szCs w:val="20"/>
              </w:rPr>
              <w:t xml:space="preserve">Conduct full internal audit against all Clauses 4–10 and applicable Annex A controls</w:t>
            </w:r>
          </w:p>
          <w:p>
            <w:pPr>
              <w:pStyle w:val="ListParagraph"/>
              <w:numPr>
                <w:ilvl w:val="0"/>
                <w:numId w:val="2"/>
              </w:numPr>
              <w:spacing w:after="80"/>
            </w:pPr>
            <w:r>
              <w:rPr>
                <w:rFonts w:ascii="Georgia" w:cs="Georgia" w:eastAsia="Georgia" w:hAnsi="Georgia"/>
                <w:color w:val="111827"/>
                <w:sz w:val="20"/>
                <w:szCs w:val="20"/>
              </w:rPr>
              <w:t xml:space="preserve">Address internal audit findings — corrective actions and evidence</w:t>
            </w:r>
          </w:p>
          <w:p>
            <w:pPr>
              <w:pStyle w:val="ListParagraph"/>
              <w:numPr>
                <w:ilvl w:val="0"/>
                <w:numId w:val="2"/>
              </w:numPr>
              <w:spacing w:after="80"/>
            </w:pPr>
            <w:r>
              <w:rPr>
                <w:rFonts w:ascii="Georgia" w:cs="Georgia" w:eastAsia="Georgia" w:hAnsi="Georgia"/>
                <w:color w:val="111827"/>
                <w:sz w:val="20"/>
                <w:szCs w:val="20"/>
              </w:rPr>
              <w:t xml:space="preserve">Conduct pre-certification management review</w:t>
            </w:r>
          </w:p>
          <w:p>
            <w:pPr>
              <w:pStyle w:val="ListParagraph"/>
              <w:numPr>
                <w:ilvl w:val="0"/>
                <w:numId w:val="2"/>
              </w:numPr>
              <w:spacing w:after="80"/>
            </w:pPr>
            <w:r>
              <w:rPr>
                <w:rFonts w:ascii="Georgia" w:cs="Georgia" w:eastAsia="Georgia" w:hAnsi="Georgia"/>
                <w:color w:val="111827"/>
                <w:sz w:val="20"/>
                <w:szCs w:val="20"/>
              </w:rPr>
              <w:t xml:space="preserve">Submit Stage 1 audit documentation package to certification body</w:t>
            </w:r>
          </w:p>
          <w:p>
            <w:pPr>
              <w:pStyle w:val="ListParagraph"/>
              <w:numPr>
                <w:ilvl w:val="0"/>
                <w:numId w:val="2"/>
              </w:numPr>
              <w:spacing w:after="80"/>
            </w:pPr>
            <w:r>
              <w:rPr>
                <w:rFonts w:ascii="Georgia" w:cs="Georgia" w:eastAsia="Georgia" w:hAnsi="Georgia"/>
                <w:color w:val="111827"/>
                <w:sz w:val="20"/>
                <w:szCs w:val="20"/>
              </w:rPr>
              <w:t xml:space="preserve">Address Stage 1 findings and clarifications</w:t>
            </w:r>
          </w:p>
          <w:p>
            <w:pPr>
              <w:pStyle w:val="ListParagraph"/>
              <w:numPr>
                <w:ilvl w:val="0"/>
                <w:numId w:val="2"/>
              </w:numPr>
              <w:spacing w:after="80"/>
            </w:pPr>
            <w:r>
              <w:rPr>
                <w:rFonts w:ascii="Georgia" w:cs="Georgia" w:eastAsia="Georgia" w:hAnsi="Georgia"/>
                <w:color w:val="111827"/>
                <w:sz w:val="20"/>
                <w:szCs w:val="20"/>
              </w:rPr>
              <w:t xml:space="preserve">Undergo Stage 2 on-site/remote certification audit</w:t>
            </w:r>
          </w:p>
          <w:p>
            <w:pPr>
              <w:pStyle w:val="ListParagraph"/>
              <w:numPr>
                <w:ilvl w:val="0"/>
                <w:numId w:val="2"/>
              </w:numPr>
              <w:spacing w:after="80"/>
            </w:pPr>
            <w:r>
              <w:rPr>
                <w:rFonts w:ascii="Georgia" w:cs="Georgia" w:eastAsia="Georgia" w:hAnsi="Georgia"/>
                <w:color w:val="111827"/>
                <w:sz w:val="20"/>
                <w:szCs w:val="20"/>
              </w:rPr>
              <w:t xml:space="preserve">Respond to any certification audit nonconformities</w:t>
            </w:r>
          </w:p>
          <w:p>
            <w:pPr>
              <w:pStyle w:val="ListParagraph"/>
              <w:numPr>
                <w:ilvl w:val="0"/>
                <w:numId w:val="2"/>
              </w:numPr>
              <w:spacing w:after="80"/>
            </w:pPr>
            <w:r>
              <w:rPr>
                <w:rFonts w:ascii="Georgia" w:cs="Georgia" w:eastAsia="Georgia" w:hAnsi="Georgia"/>
                <w:color w:val="111827"/>
                <w:sz w:val="20"/>
                <w:szCs w:val="20"/>
              </w:rPr>
              <w:t xml:space="preserve">Receive certification decision</w:t>
            </w:r>
          </w:p>
          <w:p>
            <w:pPr>
              <w:spacing w:after="60"/>
            </w:pPr>
            <w:r>
              <w:t xml:space="preserve"/>
            </w:r>
          </w:p>
          <w:p>
            <w:r>
              <w:rPr>
                <w:rFonts w:ascii="Arial" w:cs="Arial" w:eastAsia="Arial" w:hAnsi="Arial"/>
                <w:b/>
                <w:bCs/>
                <w:color w:val="065F46"/>
                <w:sz w:val="19"/>
                <w:szCs w:val="19"/>
              </w:rPr>
              <w:t xml:space="preserve">Key outputs: </w:t>
            </w:r>
            <w:r>
              <w:rPr>
                <w:rFonts w:ascii="Georgia" w:cs="Georgia" w:eastAsia="Georgia" w:hAnsi="Georgia"/>
                <w:i/>
                <w:iCs/>
                <w:color w:val="065F46"/>
                <w:sz w:val="19"/>
                <w:szCs w:val="19"/>
              </w:rPr>
              <w:t xml:space="preserve">Internal audit reports and CAR records. Pre-certification management review minutes. Stage 1 and Stage 2 audit reports. ISO 27001:2022 certificate.</w:t>
            </w:r>
          </w:p>
        </w:tc>
      </w:tr>
    </w:tbl>
    <w:p>
      <w:pPr>
        <w:spacing w:after="160"/>
      </w:pPr>
      <w:r>
        <w:t xml:space="preserve"/>
      </w:r>
    </w:p>
    <w:p>
      <w:pPr>
        <w:pStyle w:val="Heading3"/>
        <w:spacing w:after="120" w:before="280"/>
      </w:pPr>
      <w:r>
        <w:rPr>
          <w:rFonts w:ascii="Arial" w:cs="Arial" w:eastAsia="Arial" w:hAnsi="Arial"/>
          <w:b/>
          <w:bCs/>
          <w:color w:val="2563A8"/>
          <w:sz w:val="24"/>
          <w:szCs w:val="24"/>
        </w:rPr>
        <w:t xml:space="preserve">Timeline Variables: What Affects Certification Speed</w:t>
      </w:r>
    </w:p>
    <w:p>
      <w:pPr>
        <w:spacing w:after="80"/>
      </w:pPr>
      <w:r>
        <w:t xml:space="preserve"/>
      </w:r>
    </w:p>
    <w:p>
      <w:pPr>
        <w:spacing w:after="160" w:line="320"/>
        <w:jc w:val="both"/>
      </w:pPr>
      <w:r>
        <w:rPr>
          <w:rFonts w:ascii="Georgia" w:cs="Georgia" w:eastAsia="Georgia" w:hAnsi="Georgia"/>
          <w:color w:val="111827"/>
          <w:sz w:val="22"/>
          <w:szCs w:val="22"/>
        </w:rPr>
        <w:t xml:space="preserve">The 9–12 month timeline above represents a focused implementation with adequate resource. Several factors can compress or extend it significantly:</w:t>
      </w:r>
    </w:p>
    <w:p>
      <w:pPr>
        <w:spacing w:after="80"/>
      </w:pPr>
      <w:r>
        <w:t xml:space="preserve"/>
      </w:r>
    </w:p>
    <w:p>
      <w:pPr>
        <w:pStyle w:val="ListParagraph"/>
        <w:numPr>
          <w:ilvl w:val="0"/>
          <w:numId w:val="2"/>
        </w:numPr>
        <w:spacing w:after="100"/>
      </w:pPr>
      <w:r>
        <w:rPr>
          <w:rFonts w:ascii="Georgia" w:cs="Georgia" w:eastAsia="Georgia" w:hAnsi="Georgia"/>
          <w:b/>
          <w:bCs/>
          <w:color w:val="111827"/>
          <w:sz w:val="22"/>
          <w:szCs w:val="22"/>
        </w:rPr>
        <w:t xml:space="preserve">Accelerates: </w:t>
      </w:r>
      <w:r>
        <w:rPr>
          <w:rFonts w:ascii="Georgia" w:cs="Georgia" w:eastAsia="Georgia" w:hAnsi="Georgia"/>
          <w:color w:val="111827"/>
          <w:sz w:val="22"/>
          <w:szCs w:val="22"/>
        </w:rPr>
        <w:t xml:space="preserve">Current security maturity — organizations with mature IT governance, existing security controls, and documented processes complete Phase 3 and 4 significantly faster than those starting from a low baseline.</w:t>
      </w:r>
    </w:p>
    <w:p>
      <w:pPr>
        <w:pStyle w:val="ListParagraph"/>
        <w:numPr>
          <w:ilvl w:val="0"/>
          <w:numId w:val="2"/>
        </w:numPr>
        <w:spacing w:after="100"/>
      </w:pPr>
      <w:r>
        <w:rPr>
          <w:rFonts w:ascii="Georgia" w:cs="Georgia" w:eastAsia="Georgia" w:hAnsi="Georgia"/>
          <w:b/>
          <w:bCs/>
          <w:color w:val="111827"/>
          <w:sz w:val="22"/>
          <w:szCs w:val="22"/>
        </w:rPr>
        <w:t xml:space="preserve">Accelerates: </w:t>
      </w:r>
      <w:r>
        <w:rPr>
          <w:rFonts w:ascii="Georgia" w:cs="Georgia" w:eastAsia="Georgia" w:hAnsi="Georgia"/>
          <w:color w:val="111827"/>
          <w:sz w:val="22"/>
          <w:szCs w:val="22"/>
        </w:rPr>
        <w:t xml:space="preserve">GRC platform adoption — organizations that deploy a GRC platform early (Phase 1 or early Phase 2) versus managing documentation in spreadsheets gain 6–10 weeks across Phases 3 and 4.</w:t>
      </w:r>
    </w:p>
    <w:p>
      <w:pPr>
        <w:pStyle w:val="ListParagraph"/>
        <w:numPr>
          <w:ilvl w:val="0"/>
          <w:numId w:val="2"/>
        </w:numPr>
        <w:spacing w:after="100"/>
      </w:pPr>
      <w:r>
        <w:rPr>
          <w:rFonts w:ascii="Georgia" w:cs="Georgia" w:eastAsia="Georgia" w:hAnsi="Georgia"/>
          <w:b/>
          <w:bCs/>
          <w:color w:val="111827"/>
          <w:sz w:val="22"/>
          <w:szCs w:val="22"/>
        </w:rPr>
        <w:t xml:space="preserve">Accelerates: </w:t>
      </w:r>
      <w:r>
        <w:rPr>
          <w:rFonts w:ascii="Georgia" w:cs="Georgia" w:eastAsia="Georgia" w:hAnsi="Georgia"/>
          <w:color w:val="111827"/>
          <w:sz w:val="22"/>
          <w:szCs w:val="22"/>
        </w:rPr>
        <w:t xml:space="preserve">Consultant engagement — a competent external consultant leading the gap assessment and policy development can reduce Phase 2 and Phase 3 elapsed time by 4–8 weeks, particularly for organizations without prior ISO management system experience.</w:t>
      </w:r>
    </w:p>
    <w:p>
      <w:pPr>
        <w:pStyle w:val="ListParagraph"/>
        <w:numPr>
          <w:ilvl w:val="0"/>
          <w:numId w:val="2"/>
        </w:numPr>
        <w:spacing w:after="100"/>
      </w:pPr>
      <w:r>
        <w:rPr>
          <w:rFonts w:ascii="Georgia" w:cs="Georgia" w:eastAsia="Georgia" w:hAnsi="Georgia"/>
          <w:b/>
          <w:bCs/>
          <w:color w:val="111827"/>
          <w:sz w:val="22"/>
          <w:szCs w:val="22"/>
        </w:rPr>
        <w:t xml:space="preserve">Extends: </w:t>
      </w:r>
      <w:r>
        <w:rPr>
          <w:rFonts w:ascii="Georgia" w:cs="Georgia" w:eastAsia="Georgia" w:hAnsi="Georgia"/>
          <w:color w:val="111827"/>
          <w:sz w:val="22"/>
          <w:szCs w:val="22"/>
        </w:rPr>
        <w:t xml:space="preserve">Organizational complexity and scope size — each additional business unit, location, or major system in scope adds 2–4 weeks to Phase 3 and Phase 4.</w:t>
      </w:r>
    </w:p>
    <w:p>
      <w:pPr>
        <w:pStyle w:val="ListParagraph"/>
        <w:numPr>
          <w:ilvl w:val="0"/>
          <w:numId w:val="2"/>
        </w:numPr>
        <w:spacing w:after="100"/>
      </w:pPr>
      <w:r>
        <w:rPr>
          <w:rFonts w:ascii="Georgia" w:cs="Georgia" w:eastAsia="Georgia" w:hAnsi="Georgia"/>
          <w:b/>
          <w:bCs/>
          <w:color w:val="111827"/>
          <w:sz w:val="22"/>
          <w:szCs w:val="22"/>
        </w:rPr>
        <w:t xml:space="preserve">Extends: </w:t>
      </w:r>
      <w:r>
        <w:rPr>
          <w:rFonts w:ascii="Georgia" w:cs="Georgia" w:eastAsia="Georgia" w:hAnsi="Georgia"/>
          <w:color w:val="111827"/>
          <w:sz w:val="22"/>
          <w:szCs w:val="22"/>
        </w:rPr>
        <w:t xml:space="preserve">Control implementation gaps — large gaps in technical controls discovered during the gap assessment add time to Phase 4. Common gap areas: MFA not deployed, no centralized logging, no formal vulnerability management program.</w:t>
      </w:r>
    </w:p>
    <w:p>
      <w:pPr>
        <w:pStyle w:val="ListParagraph"/>
        <w:numPr>
          <w:ilvl w:val="0"/>
          <w:numId w:val="2"/>
        </w:numPr>
        <w:spacing w:after="100"/>
      </w:pPr>
      <w:r>
        <w:rPr>
          <w:rFonts w:ascii="Georgia" w:cs="Georgia" w:eastAsia="Georgia" w:hAnsi="Georgia"/>
          <w:b/>
          <w:bCs/>
          <w:color w:val="111827"/>
          <w:sz w:val="22"/>
          <w:szCs w:val="22"/>
        </w:rPr>
        <w:t xml:space="preserve">Extends: </w:t>
      </w:r>
      <w:r>
        <w:rPr>
          <w:rFonts w:ascii="Georgia" w:cs="Georgia" w:eastAsia="Georgia" w:hAnsi="Georgia"/>
          <w:color w:val="111827"/>
          <w:sz w:val="22"/>
          <w:szCs w:val="22"/>
        </w:rPr>
        <w:t xml:space="preserve">Staff availability and competing priorities — the single biggest source of timeline extension. Protect the ISMS Lead's time explicitly — do not assume availability from a full-time role will happen naturally.</w:t>
      </w:r>
    </w:p>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3730A3" w:sz="1"/>
              <w:left w:val="single" w:color="3730A3" w:sz="12"/>
              <w:bottom w:val="single" w:color="3730A3" w:sz="1"/>
              <w:right w:val="single" w:color="3730A3" w:sz="1"/>
            </w:tcBorders>
            <w:shd w:fill="EEF2FF" w:val="clear"/>
            <w:tcMar>
              <w:top w:type="dxa" w:w="140"/>
              <w:left w:type="dxa" w:w="200"/>
              <w:bottom w:type="dxa" w:w="140"/>
              <w:right w:type="dxa" w:w="160"/>
            </w:tcMar>
          </w:tcPr>
          <w:p>
            <w:r>
              <w:rPr>
                <w:rFonts w:ascii="Georgia" w:cs="Georgia" w:eastAsia="Georgia" w:hAnsi="Georgia"/>
                <w:i/>
                <w:iCs/>
                <w:color w:val="3730A3"/>
                <w:sz w:val="21"/>
                <w:szCs w:val="21"/>
              </w:rPr>
              <w:t xml:space="preserve">Certification body selection and scheduling: Certification bodies often have 8–12 week lead times for Stage 2 audit scheduling. Do not wait until Phase 4 is complete to engage the certification body — initial conversations should happen in Phase 1, and Stage 1 audit scheduling should be confirmed at the start of Phase 4. Missing a certification body slot adds 8–12 weeks to the overall timeline.</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Budgeting the Implementation</w:t>
      </w:r>
    </w:p>
    <w:p>
      <w:pPr>
        <w:spacing w:after="80"/>
      </w:pPr>
      <w:r>
        <w:t xml:space="preserve"/>
      </w:r>
    </w:p>
    <w:p>
      <w:pPr>
        <w:spacing w:after="160" w:line="320"/>
        <w:jc w:val="both"/>
      </w:pPr>
      <w:r>
        <w:rPr>
          <w:rFonts w:ascii="Georgia" w:cs="Georgia" w:eastAsia="Georgia" w:hAnsi="Georgia"/>
          <w:color w:val="111827"/>
          <w:sz w:val="22"/>
          <w:szCs w:val="22"/>
        </w:rPr>
        <w:t xml:space="preserve">ISO 27001 implementation costs vary widely based on scope complexity, existing security maturity, internal vs. external resource mix, and the certification body selected. The table below provides Indonesian market estimates across the major cost categories for two organization size bands. These are directional — a proper budget requires a gap assessment to quantify the control implementation gap, which is the most variable cost component:</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600"/>
        <w:gridCol w:w="1000"/>
        <w:gridCol w:w="1480"/>
        <w:gridCol w:w="1480"/>
        <w:gridCol w:w="2800"/>
      </w:tblGrid>
      <w:tr>
        <w:tc>
          <w:tcPr>
            <w:tcW w:type="dxa" w:w="26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Cost item</w:t>
            </w:r>
          </w:p>
        </w:tc>
        <w:tc>
          <w:tcPr>
            <w:tcW w:type="dxa" w:w="1000"/>
            <w:tcBorders>
              <w:top w:val="single" w:color="DBEAFE" w:sz="1"/>
              <w:left w:val="single" w:color="DBEAFE" w:sz="1"/>
              <w:bottom w:val="single" w:color="DBEAFE" w:sz="1"/>
              <w:right w:val="single" w:color="DBEAFE" w:sz="1"/>
            </w:tcBorders>
            <w:shd w:fill="1B3A5C" w:val="clear"/>
            <w:tcMar>
              <w:top w:type="dxa" w:w="90"/>
              <w:left w:type="dxa" w:w="100"/>
              <w:bottom w:type="dxa" w:w="90"/>
              <w:right w:type="dxa" w:w="100"/>
            </w:tcMar>
          </w:tcPr>
          <w:p>
            <w:r>
              <w:rPr>
                <w:rFonts w:ascii="Arial" w:cs="Arial" w:eastAsia="Arial" w:hAnsi="Arial"/>
                <w:b/>
                <w:bCs/>
                <w:color w:val="FFFFFF"/>
                <w:sz w:val="18"/>
                <w:szCs w:val="18"/>
              </w:rPr>
              <w:t xml:space="preserve">Category</w:t>
            </w:r>
          </w:p>
        </w:tc>
        <w:tc>
          <w:tcPr>
            <w:tcW w:type="dxa" w:w="1480"/>
            <w:tcBorders>
              <w:top w:val="single" w:color="DBEAFE" w:sz="1"/>
              <w:left w:val="single" w:color="DBEAFE" w:sz="1"/>
              <w:bottom w:val="single" w:color="DBEAFE" w:sz="1"/>
              <w:right w:val="single" w:color="DBEAFE" w:sz="1"/>
            </w:tcBorders>
            <w:shd w:fill="1B3A5C" w:val="clear"/>
            <w:tcMar>
              <w:top w:type="dxa" w:w="90"/>
              <w:left w:type="dxa" w:w="100"/>
              <w:bottom w:type="dxa" w:w="90"/>
              <w:right w:type="dxa" w:w="100"/>
            </w:tcMar>
          </w:tcPr>
          <w:p>
            <w:r>
              <w:rPr>
                <w:rFonts w:ascii="Arial" w:cs="Arial" w:eastAsia="Arial" w:hAnsi="Arial"/>
                <w:b/>
                <w:bCs/>
                <w:color w:val="FFFFFF"/>
                <w:sz w:val="18"/>
                <w:szCs w:val="18"/>
              </w:rPr>
              <w:t xml:space="preserve">SME (&lt;100 staff)</w:t>
            </w:r>
          </w:p>
        </w:tc>
        <w:tc>
          <w:tcPr>
            <w:tcW w:type="dxa" w:w="1480"/>
            <w:tcBorders>
              <w:top w:val="single" w:color="DBEAFE" w:sz="1"/>
              <w:left w:val="single" w:color="DBEAFE" w:sz="1"/>
              <w:bottom w:val="single" w:color="DBEAFE" w:sz="1"/>
              <w:right w:val="single" w:color="DBEAFE" w:sz="1"/>
            </w:tcBorders>
            <w:shd w:fill="1B3A5C" w:val="clear"/>
            <w:tcMar>
              <w:top w:type="dxa" w:w="90"/>
              <w:left w:type="dxa" w:w="100"/>
              <w:bottom w:type="dxa" w:w="90"/>
              <w:right w:type="dxa" w:w="100"/>
            </w:tcMar>
          </w:tcPr>
          <w:p>
            <w:r>
              <w:rPr>
                <w:rFonts w:ascii="Arial" w:cs="Arial" w:eastAsia="Arial" w:hAnsi="Arial"/>
                <w:b/>
                <w:bCs/>
                <w:color w:val="FFFFFF"/>
                <w:sz w:val="18"/>
                <w:szCs w:val="18"/>
              </w:rPr>
              <w:t xml:space="preserve">Mid-market (100–500)</w:t>
            </w:r>
          </w:p>
        </w:tc>
        <w:tc>
          <w:tcPr>
            <w:tcW w:type="dxa" w:w="28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Notes</w:t>
            </w:r>
          </w:p>
        </w:tc>
      </w:tr>
      <w:tr>
        <w:tc>
          <w:tcPr>
            <w:tcW w:type="dxa" w:w="2600"/>
            <w:tcBorders>
              <w:top w:val="single" w:color="DBEAFE" w:sz="1"/>
              <w:left w:val="single" w:color="DBEAFE" w:sz="1"/>
              <w:bottom w:val="single" w:color="DBEAFE" w:sz="1"/>
              <w:right w:val="single" w:color="DBEAFE" w:sz="1"/>
            </w:tcBorders>
            <w:shd w:fill="EBF2FB" w:val="clear"/>
            <w:tcMar>
              <w:top w:type="dxa" w:w="90"/>
              <w:left w:type="dxa" w:w="110"/>
              <w:bottom w:type="dxa" w:w="90"/>
              <w:right w:type="dxa" w:w="110"/>
            </w:tcMar>
          </w:tcPr>
          <w:p>
            <w:r>
              <w:rPr>
                <w:rFonts w:ascii="Arial" w:cs="Arial" w:eastAsia="Arial" w:hAnsi="Arial"/>
                <w:b/>
                <w:bCs/>
                <w:color w:val="1B3A5C"/>
                <w:sz w:val="18"/>
                <w:szCs w:val="18"/>
              </w:rPr>
              <w:t xml:space="preserve">GRC Platform (Bitlion or equivalent)</w:t>
            </w:r>
          </w:p>
        </w:tc>
        <w:tc>
          <w:tcPr>
            <w:tcW w:type="dxa" w:w="1000"/>
            <w:tcBorders>
              <w:top w:val="single" w:color="DBEAFE" w:sz="1"/>
              <w:left w:val="single" w:color="DBEAFE" w:sz="1"/>
              <w:bottom w:val="single" w:color="DBEAFE" w:sz="1"/>
              <w:right w:val="single" w:color="DBEAFE" w:sz="1"/>
            </w:tcBorders>
            <w:shd w:fill="F3F4F6" w:val="clear"/>
            <w:tcMar>
              <w:top w:type="dxa" w:w="90"/>
              <w:left w:type="dxa" w:w="100"/>
              <w:bottom w:type="dxa" w:w="90"/>
              <w:right w:type="dxa" w:w="100"/>
            </w:tcMar>
          </w:tcPr>
          <w:p>
            <w:r>
              <w:rPr>
                <w:rFonts w:ascii="Georgia" w:cs="Georgia" w:eastAsia="Georgia" w:hAnsi="Georgia"/>
                <w:color w:val="4B5563"/>
                <w:sz w:val="17"/>
                <w:szCs w:val="17"/>
              </w:rPr>
              <w:t xml:space="preserve">Tooling</w:t>
            </w:r>
          </w:p>
        </w:tc>
        <w:tc>
          <w:tcPr>
            <w:tcW w:type="dxa" w:w="1480"/>
            <w:tcBorders>
              <w:top w:val="single" w:color="DBEAFE" w:sz="1"/>
              <w:left w:val="single" w:color="DBEAFE" w:sz="1"/>
              <w:bottom w:val="single" w:color="DBEAFE" w:sz="1"/>
              <w:right w:val="single" w:color="DBEAFE" w:sz="1"/>
            </w:tcBorders>
            <w:shd w:fill="ECFDF5" w:val="clear"/>
            <w:tcMar>
              <w:top w:type="dxa" w:w="90"/>
              <w:left w:type="dxa" w:w="100"/>
              <w:bottom w:type="dxa" w:w="90"/>
              <w:right w:type="dxa" w:w="100"/>
            </w:tcMar>
          </w:tcPr>
          <w:p>
            <w:r>
              <w:rPr>
                <w:rFonts w:ascii="Arial" w:cs="Arial" w:eastAsia="Arial" w:hAnsi="Arial"/>
                <w:b/>
                <w:bCs/>
                <w:color w:val="065F46"/>
                <w:sz w:val="18"/>
                <w:szCs w:val="18"/>
              </w:rPr>
              <w:t xml:space="preserve">IDR 60–120M/yr</w:t>
            </w:r>
          </w:p>
        </w:tc>
        <w:tc>
          <w:tcPr>
            <w:tcW w:type="dxa" w:w="1480"/>
            <w:tcBorders>
              <w:top w:val="single" w:color="DBEAFE" w:sz="1"/>
              <w:left w:val="single" w:color="DBEAFE" w:sz="1"/>
              <w:bottom w:val="single" w:color="DBEAFE" w:sz="1"/>
              <w:right w:val="single" w:color="DBEAFE" w:sz="1"/>
            </w:tcBorders>
            <w:shd w:fill="FFFBEB" w:val="clear"/>
            <w:tcMar>
              <w:top w:type="dxa" w:w="90"/>
              <w:left w:type="dxa" w:w="100"/>
              <w:bottom w:type="dxa" w:w="90"/>
              <w:right w:type="dxa" w:w="100"/>
            </w:tcMar>
          </w:tcPr>
          <w:p>
            <w:r>
              <w:rPr>
                <w:rFonts w:ascii="Arial" w:cs="Arial" w:eastAsia="Arial" w:hAnsi="Arial"/>
                <w:b/>
                <w:bCs/>
                <w:color w:val="B45309"/>
                <w:sz w:val="18"/>
                <w:szCs w:val="18"/>
              </w:rPr>
              <w:t xml:space="preserve">IDR 120–300M/yr</w:t>
            </w:r>
          </w:p>
        </w:tc>
        <w:tc>
          <w:tcPr>
            <w:tcW w:type="dxa" w:w="280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7"/>
                <w:szCs w:val="17"/>
              </w:rPr>
              <w:t xml:space="preserve">SaaS subscription covering risk management, compliance tracking, audit management, and evidence collection. Eliminates spreadsheet overhead and speeds up every ISMS activity.</w:t>
            </w:r>
          </w:p>
        </w:tc>
      </w:tr>
      <w:tr>
        <w:tc>
          <w:tcPr>
            <w:tcW w:type="dxa" w:w="2600"/>
            <w:tcBorders>
              <w:top w:val="single" w:color="DBEAFE" w:sz="1"/>
              <w:left w:val="single" w:color="DBEAFE" w:sz="1"/>
              <w:bottom w:val="single" w:color="DBEAFE" w:sz="1"/>
              <w:right w:val="single" w:color="DBEAFE" w:sz="1"/>
            </w:tcBorders>
            <w:shd w:fill="F0F7FF" w:val="clear"/>
            <w:tcMar>
              <w:top w:type="dxa" w:w="90"/>
              <w:left w:type="dxa" w:w="110"/>
              <w:bottom w:type="dxa" w:w="90"/>
              <w:right w:type="dxa" w:w="110"/>
            </w:tcMar>
          </w:tcPr>
          <w:p>
            <w:r>
              <w:rPr>
                <w:rFonts w:ascii="Arial" w:cs="Arial" w:eastAsia="Arial" w:hAnsi="Arial"/>
                <w:b/>
                <w:bCs/>
                <w:color w:val="1B3A5C"/>
                <w:sz w:val="18"/>
                <w:szCs w:val="18"/>
              </w:rPr>
              <w:t xml:space="preserve">Certification Body Fees</w:t>
            </w:r>
          </w:p>
        </w:tc>
        <w:tc>
          <w:tcPr>
            <w:tcW w:type="dxa" w:w="1000"/>
            <w:tcBorders>
              <w:top w:val="single" w:color="DBEAFE" w:sz="1"/>
              <w:left w:val="single" w:color="DBEAFE" w:sz="1"/>
              <w:bottom w:val="single" w:color="DBEAFE" w:sz="1"/>
              <w:right w:val="single" w:color="DBEAFE" w:sz="1"/>
            </w:tcBorders>
            <w:shd w:fill="FFFFFF" w:val="clear"/>
            <w:tcMar>
              <w:top w:type="dxa" w:w="90"/>
              <w:left w:type="dxa" w:w="100"/>
              <w:bottom w:type="dxa" w:w="90"/>
              <w:right w:type="dxa" w:w="100"/>
            </w:tcMar>
          </w:tcPr>
          <w:p>
            <w:r>
              <w:rPr>
                <w:rFonts w:ascii="Georgia" w:cs="Georgia" w:eastAsia="Georgia" w:hAnsi="Georgia"/>
                <w:color w:val="4B5563"/>
                <w:sz w:val="17"/>
                <w:szCs w:val="17"/>
              </w:rPr>
              <w:t xml:space="preserve">Audit</w:t>
            </w:r>
          </w:p>
        </w:tc>
        <w:tc>
          <w:tcPr>
            <w:tcW w:type="dxa" w:w="1480"/>
            <w:tcBorders>
              <w:top w:val="single" w:color="DBEAFE" w:sz="1"/>
              <w:left w:val="single" w:color="DBEAFE" w:sz="1"/>
              <w:bottom w:val="single" w:color="DBEAFE" w:sz="1"/>
              <w:right w:val="single" w:color="DBEAFE" w:sz="1"/>
            </w:tcBorders>
            <w:shd w:fill="ECFDF5" w:val="clear"/>
            <w:tcMar>
              <w:top w:type="dxa" w:w="90"/>
              <w:left w:type="dxa" w:w="100"/>
              <w:bottom w:type="dxa" w:w="90"/>
              <w:right w:type="dxa" w:w="100"/>
            </w:tcMar>
          </w:tcPr>
          <w:p>
            <w:r>
              <w:rPr>
                <w:rFonts w:ascii="Arial" w:cs="Arial" w:eastAsia="Arial" w:hAnsi="Arial"/>
                <w:b/>
                <w:bCs/>
                <w:color w:val="065F46"/>
                <w:sz w:val="18"/>
                <w:szCs w:val="18"/>
              </w:rPr>
              <w:t xml:space="preserve">IDR 80–150M</w:t>
            </w:r>
          </w:p>
        </w:tc>
        <w:tc>
          <w:tcPr>
            <w:tcW w:type="dxa" w:w="1480"/>
            <w:tcBorders>
              <w:top w:val="single" w:color="DBEAFE" w:sz="1"/>
              <w:left w:val="single" w:color="DBEAFE" w:sz="1"/>
              <w:bottom w:val="single" w:color="DBEAFE" w:sz="1"/>
              <w:right w:val="single" w:color="DBEAFE" w:sz="1"/>
            </w:tcBorders>
            <w:shd w:fill="FFFBEB" w:val="clear"/>
            <w:tcMar>
              <w:top w:type="dxa" w:w="90"/>
              <w:left w:type="dxa" w:w="100"/>
              <w:bottom w:type="dxa" w:w="90"/>
              <w:right w:type="dxa" w:w="100"/>
            </w:tcMar>
          </w:tcPr>
          <w:p>
            <w:r>
              <w:rPr>
                <w:rFonts w:ascii="Arial" w:cs="Arial" w:eastAsia="Arial" w:hAnsi="Arial"/>
                <w:b/>
                <w:bCs/>
                <w:color w:val="B45309"/>
                <w:sz w:val="18"/>
                <w:szCs w:val="18"/>
              </w:rPr>
              <w:t xml:space="preserve">IDR 150–350M</w:t>
            </w:r>
          </w:p>
        </w:tc>
        <w:tc>
          <w:tcPr>
            <w:tcW w:type="dxa" w:w="280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17"/>
                <w:szCs w:val="17"/>
              </w:rPr>
              <w:t xml:space="preserve">Stage 1 + Stage 2 initial certification audit fees from accredited body. Wide variation based on org size, scope complexity, and body selected. Annual surveillance fees typically 30–40% of initial audit cost.</w:t>
            </w:r>
          </w:p>
        </w:tc>
      </w:tr>
      <w:tr>
        <w:tc>
          <w:tcPr>
            <w:tcW w:type="dxa" w:w="2600"/>
            <w:tcBorders>
              <w:top w:val="single" w:color="DBEAFE" w:sz="1"/>
              <w:left w:val="single" w:color="DBEAFE" w:sz="1"/>
              <w:bottom w:val="single" w:color="DBEAFE" w:sz="1"/>
              <w:right w:val="single" w:color="DBEAFE" w:sz="1"/>
            </w:tcBorders>
            <w:shd w:fill="EBF2FB" w:val="clear"/>
            <w:tcMar>
              <w:top w:type="dxa" w:w="90"/>
              <w:left w:type="dxa" w:w="110"/>
              <w:bottom w:type="dxa" w:w="90"/>
              <w:right w:type="dxa" w:w="110"/>
            </w:tcMar>
          </w:tcPr>
          <w:p>
            <w:r>
              <w:rPr>
                <w:rFonts w:ascii="Arial" w:cs="Arial" w:eastAsia="Arial" w:hAnsi="Arial"/>
                <w:b/>
                <w:bCs/>
                <w:color w:val="1B3A5C"/>
                <w:sz w:val="18"/>
                <w:szCs w:val="18"/>
              </w:rPr>
              <w:t xml:space="preserve">External Implementation Consultant</w:t>
            </w:r>
          </w:p>
        </w:tc>
        <w:tc>
          <w:tcPr>
            <w:tcW w:type="dxa" w:w="1000"/>
            <w:tcBorders>
              <w:top w:val="single" w:color="DBEAFE" w:sz="1"/>
              <w:left w:val="single" w:color="DBEAFE" w:sz="1"/>
              <w:bottom w:val="single" w:color="DBEAFE" w:sz="1"/>
              <w:right w:val="single" w:color="DBEAFE" w:sz="1"/>
            </w:tcBorders>
            <w:shd w:fill="F3F4F6" w:val="clear"/>
            <w:tcMar>
              <w:top w:type="dxa" w:w="90"/>
              <w:left w:type="dxa" w:w="100"/>
              <w:bottom w:type="dxa" w:w="90"/>
              <w:right w:type="dxa" w:w="100"/>
            </w:tcMar>
          </w:tcPr>
          <w:p>
            <w:r>
              <w:rPr>
                <w:rFonts w:ascii="Georgia" w:cs="Georgia" w:eastAsia="Georgia" w:hAnsi="Georgia"/>
                <w:color w:val="4B5563"/>
                <w:sz w:val="17"/>
                <w:szCs w:val="17"/>
              </w:rPr>
              <w:t xml:space="preserve">Advisory</w:t>
            </w:r>
          </w:p>
        </w:tc>
        <w:tc>
          <w:tcPr>
            <w:tcW w:type="dxa" w:w="1480"/>
            <w:tcBorders>
              <w:top w:val="single" w:color="DBEAFE" w:sz="1"/>
              <w:left w:val="single" w:color="DBEAFE" w:sz="1"/>
              <w:bottom w:val="single" w:color="DBEAFE" w:sz="1"/>
              <w:right w:val="single" w:color="DBEAFE" w:sz="1"/>
            </w:tcBorders>
            <w:shd w:fill="ECFDF5" w:val="clear"/>
            <w:tcMar>
              <w:top w:type="dxa" w:w="90"/>
              <w:left w:type="dxa" w:w="100"/>
              <w:bottom w:type="dxa" w:w="90"/>
              <w:right w:type="dxa" w:w="100"/>
            </w:tcMar>
          </w:tcPr>
          <w:p>
            <w:r>
              <w:rPr>
                <w:rFonts w:ascii="Arial" w:cs="Arial" w:eastAsia="Arial" w:hAnsi="Arial"/>
                <w:b/>
                <w:bCs/>
                <w:color w:val="065F46"/>
                <w:sz w:val="18"/>
                <w:szCs w:val="18"/>
              </w:rPr>
              <w:t xml:space="preserve">IDR 80–200M</w:t>
            </w:r>
          </w:p>
        </w:tc>
        <w:tc>
          <w:tcPr>
            <w:tcW w:type="dxa" w:w="1480"/>
            <w:tcBorders>
              <w:top w:val="single" w:color="DBEAFE" w:sz="1"/>
              <w:left w:val="single" w:color="DBEAFE" w:sz="1"/>
              <w:bottom w:val="single" w:color="DBEAFE" w:sz="1"/>
              <w:right w:val="single" w:color="DBEAFE" w:sz="1"/>
            </w:tcBorders>
            <w:shd w:fill="FFFBEB" w:val="clear"/>
            <w:tcMar>
              <w:top w:type="dxa" w:w="90"/>
              <w:left w:type="dxa" w:w="100"/>
              <w:bottom w:type="dxa" w:w="90"/>
              <w:right w:type="dxa" w:w="100"/>
            </w:tcMar>
          </w:tcPr>
          <w:p>
            <w:r>
              <w:rPr>
                <w:rFonts w:ascii="Arial" w:cs="Arial" w:eastAsia="Arial" w:hAnsi="Arial"/>
                <w:b/>
                <w:bCs/>
                <w:color w:val="B45309"/>
                <w:sz w:val="18"/>
                <w:szCs w:val="18"/>
              </w:rPr>
              <w:t xml:space="preserve">IDR 200–500M</w:t>
            </w:r>
          </w:p>
        </w:tc>
        <w:tc>
          <w:tcPr>
            <w:tcW w:type="dxa" w:w="280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7"/>
                <w:szCs w:val="17"/>
              </w:rPr>
              <w:t xml:space="preserve">For gap assessment, risk methodology, policy suite development, and audit preparation. Optional for organizations with strong internal ISMS expertise, but significantly accelerates first-cycle timelines.</w:t>
            </w:r>
          </w:p>
        </w:tc>
      </w:tr>
      <w:tr>
        <w:tc>
          <w:tcPr>
            <w:tcW w:type="dxa" w:w="2600"/>
            <w:tcBorders>
              <w:top w:val="single" w:color="DBEAFE" w:sz="1"/>
              <w:left w:val="single" w:color="DBEAFE" w:sz="1"/>
              <w:bottom w:val="single" w:color="DBEAFE" w:sz="1"/>
              <w:right w:val="single" w:color="DBEAFE" w:sz="1"/>
            </w:tcBorders>
            <w:shd w:fill="F0F7FF" w:val="clear"/>
            <w:tcMar>
              <w:top w:type="dxa" w:w="90"/>
              <w:left w:type="dxa" w:w="110"/>
              <w:bottom w:type="dxa" w:w="90"/>
              <w:right w:type="dxa" w:w="110"/>
            </w:tcMar>
          </w:tcPr>
          <w:p>
            <w:r>
              <w:rPr>
                <w:rFonts w:ascii="Arial" w:cs="Arial" w:eastAsia="Arial" w:hAnsi="Arial"/>
                <w:b/>
                <w:bCs/>
                <w:color w:val="1B3A5C"/>
                <w:sz w:val="18"/>
                <w:szCs w:val="18"/>
              </w:rPr>
              <w:t xml:space="preserve">Staff Time (internal implementation)</w:t>
            </w:r>
          </w:p>
        </w:tc>
        <w:tc>
          <w:tcPr>
            <w:tcW w:type="dxa" w:w="1000"/>
            <w:tcBorders>
              <w:top w:val="single" w:color="DBEAFE" w:sz="1"/>
              <w:left w:val="single" w:color="DBEAFE" w:sz="1"/>
              <w:bottom w:val="single" w:color="DBEAFE" w:sz="1"/>
              <w:right w:val="single" w:color="DBEAFE" w:sz="1"/>
            </w:tcBorders>
            <w:shd w:fill="FFFFFF" w:val="clear"/>
            <w:tcMar>
              <w:top w:type="dxa" w:w="90"/>
              <w:left w:type="dxa" w:w="100"/>
              <w:bottom w:type="dxa" w:w="90"/>
              <w:right w:type="dxa" w:w="100"/>
            </w:tcMar>
          </w:tcPr>
          <w:p>
            <w:r>
              <w:rPr>
                <w:rFonts w:ascii="Georgia" w:cs="Georgia" w:eastAsia="Georgia" w:hAnsi="Georgia"/>
                <w:color w:val="4B5563"/>
                <w:sz w:val="17"/>
                <w:szCs w:val="17"/>
              </w:rPr>
              <w:t xml:space="preserve">Personnel</w:t>
            </w:r>
          </w:p>
        </w:tc>
        <w:tc>
          <w:tcPr>
            <w:tcW w:type="dxa" w:w="1480"/>
            <w:tcBorders>
              <w:top w:val="single" w:color="DBEAFE" w:sz="1"/>
              <w:left w:val="single" w:color="DBEAFE" w:sz="1"/>
              <w:bottom w:val="single" w:color="DBEAFE" w:sz="1"/>
              <w:right w:val="single" w:color="DBEAFE" w:sz="1"/>
            </w:tcBorders>
            <w:shd w:fill="ECFDF5" w:val="clear"/>
            <w:tcMar>
              <w:top w:type="dxa" w:w="90"/>
              <w:left w:type="dxa" w:w="100"/>
              <w:bottom w:type="dxa" w:w="90"/>
              <w:right w:type="dxa" w:w="100"/>
            </w:tcMar>
          </w:tcPr>
          <w:p>
            <w:r>
              <w:rPr>
                <w:rFonts w:ascii="Arial" w:cs="Arial" w:eastAsia="Arial" w:hAnsi="Arial"/>
                <w:b/>
                <w:bCs/>
                <w:color w:val="065F46"/>
                <w:sz w:val="18"/>
                <w:szCs w:val="18"/>
              </w:rPr>
              <w:t xml:space="preserve">IDR 150–300M*</w:t>
            </w:r>
          </w:p>
        </w:tc>
        <w:tc>
          <w:tcPr>
            <w:tcW w:type="dxa" w:w="1480"/>
            <w:tcBorders>
              <w:top w:val="single" w:color="DBEAFE" w:sz="1"/>
              <w:left w:val="single" w:color="DBEAFE" w:sz="1"/>
              <w:bottom w:val="single" w:color="DBEAFE" w:sz="1"/>
              <w:right w:val="single" w:color="DBEAFE" w:sz="1"/>
            </w:tcBorders>
            <w:shd w:fill="FFFBEB" w:val="clear"/>
            <w:tcMar>
              <w:top w:type="dxa" w:w="90"/>
              <w:left w:type="dxa" w:w="100"/>
              <w:bottom w:type="dxa" w:w="90"/>
              <w:right w:type="dxa" w:w="100"/>
            </w:tcMar>
          </w:tcPr>
          <w:p>
            <w:r>
              <w:rPr>
                <w:rFonts w:ascii="Arial" w:cs="Arial" w:eastAsia="Arial" w:hAnsi="Arial"/>
                <w:b/>
                <w:bCs/>
                <w:color w:val="B45309"/>
                <w:sz w:val="18"/>
                <w:szCs w:val="18"/>
              </w:rPr>
              <w:t xml:space="preserve">IDR 300–600M*</w:t>
            </w:r>
          </w:p>
        </w:tc>
        <w:tc>
          <w:tcPr>
            <w:tcW w:type="dxa" w:w="280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17"/>
                <w:szCs w:val="17"/>
              </w:rPr>
              <w:t xml:space="preserve">Opportunity cost of ISMS Lead (50–80% FTE for ~12 months) and supporting team time. Often the largest real cost but frequently not budgeted explicitly. *Estimated based on market salary ranges.</w:t>
            </w:r>
          </w:p>
        </w:tc>
      </w:tr>
      <w:tr>
        <w:tc>
          <w:tcPr>
            <w:tcW w:type="dxa" w:w="2600"/>
            <w:tcBorders>
              <w:top w:val="single" w:color="DBEAFE" w:sz="1"/>
              <w:left w:val="single" w:color="DBEAFE" w:sz="1"/>
              <w:bottom w:val="single" w:color="DBEAFE" w:sz="1"/>
              <w:right w:val="single" w:color="DBEAFE" w:sz="1"/>
            </w:tcBorders>
            <w:shd w:fill="EBF2FB" w:val="clear"/>
            <w:tcMar>
              <w:top w:type="dxa" w:w="90"/>
              <w:left w:type="dxa" w:w="110"/>
              <w:bottom w:type="dxa" w:w="90"/>
              <w:right w:type="dxa" w:w="110"/>
            </w:tcMar>
          </w:tcPr>
          <w:p>
            <w:r>
              <w:rPr>
                <w:rFonts w:ascii="Arial" w:cs="Arial" w:eastAsia="Arial" w:hAnsi="Arial"/>
                <w:b/>
                <w:bCs/>
                <w:color w:val="1B3A5C"/>
                <w:sz w:val="18"/>
                <w:szCs w:val="18"/>
              </w:rPr>
              <w:t xml:space="preserve">Security Awareness Training Platform</w:t>
            </w:r>
          </w:p>
        </w:tc>
        <w:tc>
          <w:tcPr>
            <w:tcW w:type="dxa" w:w="1000"/>
            <w:tcBorders>
              <w:top w:val="single" w:color="DBEAFE" w:sz="1"/>
              <w:left w:val="single" w:color="DBEAFE" w:sz="1"/>
              <w:bottom w:val="single" w:color="DBEAFE" w:sz="1"/>
              <w:right w:val="single" w:color="DBEAFE" w:sz="1"/>
            </w:tcBorders>
            <w:shd w:fill="F3F4F6" w:val="clear"/>
            <w:tcMar>
              <w:top w:type="dxa" w:w="90"/>
              <w:left w:type="dxa" w:w="100"/>
              <w:bottom w:type="dxa" w:w="90"/>
              <w:right w:type="dxa" w:w="100"/>
            </w:tcMar>
          </w:tcPr>
          <w:p>
            <w:r>
              <w:rPr>
                <w:rFonts w:ascii="Georgia" w:cs="Georgia" w:eastAsia="Georgia" w:hAnsi="Georgia"/>
                <w:color w:val="4B5563"/>
                <w:sz w:val="17"/>
                <w:szCs w:val="17"/>
              </w:rPr>
              <w:t xml:space="preserve">Tooling</w:t>
            </w:r>
          </w:p>
        </w:tc>
        <w:tc>
          <w:tcPr>
            <w:tcW w:type="dxa" w:w="1480"/>
            <w:tcBorders>
              <w:top w:val="single" w:color="DBEAFE" w:sz="1"/>
              <w:left w:val="single" w:color="DBEAFE" w:sz="1"/>
              <w:bottom w:val="single" w:color="DBEAFE" w:sz="1"/>
              <w:right w:val="single" w:color="DBEAFE" w:sz="1"/>
            </w:tcBorders>
            <w:shd w:fill="ECFDF5" w:val="clear"/>
            <w:tcMar>
              <w:top w:type="dxa" w:w="90"/>
              <w:left w:type="dxa" w:w="100"/>
              <w:bottom w:type="dxa" w:w="90"/>
              <w:right w:type="dxa" w:w="100"/>
            </w:tcMar>
          </w:tcPr>
          <w:p>
            <w:r>
              <w:rPr>
                <w:rFonts w:ascii="Arial" w:cs="Arial" w:eastAsia="Arial" w:hAnsi="Arial"/>
                <w:b/>
                <w:bCs/>
                <w:color w:val="065F46"/>
                <w:sz w:val="18"/>
                <w:szCs w:val="18"/>
              </w:rPr>
              <w:t xml:space="preserve">IDR 20–50M/yr</w:t>
            </w:r>
          </w:p>
        </w:tc>
        <w:tc>
          <w:tcPr>
            <w:tcW w:type="dxa" w:w="1480"/>
            <w:tcBorders>
              <w:top w:val="single" w:color="DBEAFE" w:sz="1"/>
              <w:left w:val="single" w:color="DBEAFE" w:sz="1"/>
              <w:bottom w:val="single" w:color="DBEAFE" w:sz="1"/>
              <w:right w:val="single" w:color="DBEAFE" w:sz="1"/>
            </w:tcBorders>
            <w:shd w:fill="FFFBEB" w:val="clear"/>
            <w:tcMar>
              <w:top w:type="dxa" w:w="90"/>
              <w:left w:type="dxa" w:w="100"/>
              <w:bottom w:type="dxa" w:w="90"/>
              <w:right w:type="dxa" w:w="100"/>
            </w:tcMar>
          </w:tcPr>
          <w:p>
            <w:r>
              <w:rPr>
                <w:rFonts w:ascii="Arial" w:cs="Arial" w:eastAsia="Arial" w:hAnsi="Arial"/>
                <w:b/>
                <w:bCs/>
                <w:color w:val="B45309"/>
                <w:sz w:val="18"/>
                <w:szCs w:val="18"/>
              </w:rPr>
              <w:t xml:space="preserve">IDR 50–150M/yr</w:t>
            </w:r>
          </w:p>
        </w:tc>
        <w:tc>
          <w:tcPr>
            <w:tcW w:type="dxa" w:w="280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7"/>
                <w:szCs w:val="17"/>
              </w:rPr>
              <w:t xml:space="preserve">LMS with security awareness content, phishing simulation capability, and completion reporting. Can be bundled with GRC platform or procured separately.</w:t>
            </w:r>
          </w:p>
        </w:tc>
      </w:tr>
      <w:tr>
        <w:tc>
          <w:tcPr>
            <w:tcW w:type="dxa" w:w="2600"/>
            <w:tcBorders>
              <w:top w:val="single" w:color="DBEAFE" w:sz="1"/>
              <w:left w:val="single" w:color="DBEAFE" w:sz="1"/>
              <w:bottom w:val="single" w:color="DBEAFE" w:sz="1"/>
              <w:right w:val="single" w:color="DBEAFE" w:sz="1"/>
            </w:tcBorders>
            <w:shd w:fill="F0F7FF" w:val="clear"/>
            <w:tcMar>
              <w:top w:type="dxa" w:w="90"/>
              <w:left w:type="dxa" w:w="110"/>
              <w:bottom w:type="dxa" w:w="90"/>
              <w:right w:type="dxa" w:w="110"/>
            </w:tcMar>
          </w:tcPr>
          <w:p>
            <w:r>
              <w:rPr>
                <w:rFonts w:ascii="Arial" w:cs="Arial" w:eastAsia="Arial" w:hAnsi="Arial"/>
                <w:b/>
                <w:bCs/>
                <w:color w:val="1B3A5C"/>
                <w:sz w:val="18"/>
                <w:szCs w:val="18"/>
              </w:rPr>
              <w:t xml:space="preserve">Technical Control Implementation Gaps</w:t>
            </w:r>
          </w:p>
        </w:tc>
        <w:tc>
          <w:tcPr>
            <w:tcW w:type="dxa" w:w="1000"/>
            <w:tcBorders>
              <w:top w:val="single" w:color="DBEAFE" w:sz="1"/>
              <w:left w:val="single" w:color="DBEAFE" w:sz="1"/>
              <w:bottom w:val="single" w:color="DBEAFE" w:sz="1"/>
              <w:right w:val="single" w:color="DBEAFE" w:sz="1"/>
            </w:tcBorders>
            <w:shd w:fill="FFFFFF" w:val="clear"/>
            <w:tcMar>
              <w:top w:type="dxa" w:w="90"/>
              <w:left w:type="dxa" w:w="100"/>
              <w:bottom w:type="dxa" w:w="90"/>
              <w:right w:type="dxa" w:w="100"/>
            </w:tcMar>
          </w:tcPr>
          <w:p>
            <w:r>
              <w:rPr>
                <w:rFonts w:ascii="Georgia" w:cs="Georgia" w:eastAsia="Georgia" w:hAnsi="Georgia"/>
                <w:color w:val="4B5563"/>
                <w:sz w:val="17"/>
                <w:szCs w:val="17"/>
              </w:rPr>
              <w:t xml:space="preserve">Controls</w:t>
            </w:r>
          </w:p>
        </w:tc>
        <w:tc>
          <w:tcPr>
            <w:tcW w:type="dxa" w:w="1480"/>
            <w:tcBorders>
              <w:top w:val="single" w:color="DBEAFE" w:sz="1"/>
              <w:left w:val="single" w:color="DBEAFE" w:sz="1"/>
              <w:bottom w:val="single" w:color="DBEAFE" w:sz="1"/>
              <w:right w:val="single" w:color="DBEAFE" w:sz="1"/>
            </w:tcBorders>
            <w:shd w:fill="ECFDF5" w:val="clear"/>
            <w:tcMar>
              <w:top w:type="dxa" w:w="90"/>
              <w:left w:type="dxa" w:w="100"/>
              <w:bottom w:type="dxa" w:w="90"/>
              <w:right w:type="dxa" w:w="100"/>
            </w:tcMar>
          </w:tcPr>
          <w:p>
            <w:r>
              <w:rPr>
                <w:rFonts w:ascii="Arial" w:cs="Arial" w:eastAsia="Arial" w:hAnsi="Arial"/>
                <w:b/>
                <w:bCs/>
                <w:color w:val="065F46"/>
                <w:sz w:val="18"/>
                <w:szCs w:val="18"/>
              </w:rPr>
              <w:t xml:space="preserve">IDR 30–200M</w:t>
            </w:r>
          </w:p>
        </w:tc>
        <w:tc>
          <w:tcPr>
            <w:tcW w:type="dxa" w:w="1480"/>
            <w:tcBorders>
              <w:top w:val="single" w:color="DBEAFE" w:sz="1"/>
              <w:left w:val="single" w:color="DBEAFE" w:sz="1"/>
              <w:bottom w:val="single" w:color="DBEAFE" w:sz="1"/>
              <w:right w:val="single" w:color="DBEAFE" w:sz="1"/>
            </w:tcBorders>
            <w:shd w:fill="FFFBEB" w:val="clear"/>
            <w:tcMar>
              <w:top w:type="dxa" w:w="90"/>
              <w:left w:type="dxa" w:w="100"/>
              <w:bottom w:type="dxa" w:w="90"/>
              <w:right w:type="dxa" w:w="100"/>
            </w:tcMar>
          </w:tcPr>
          <w:p>
            <w:r>
              <w:rPr>
                <w:rFonts w:ascii="Arial" w:cs="Arial" w:eastAsia="Arial" w:hAnsi="Arial"/>
                <w:b/>
                <w:bCs/>
                <w:color w:val="B45309"/>
                <w:sz w:val="18"/>
                <w:szCs w:val="18"/>
              </w:rPr>
              <w:t xml:space="preserve">IDR 100–500M+</w:t>
            </w:r>
          </w:p>
        </w:tc>
        <w:tc>
          <w:tcPr>
            <w:tcW w:type="dxa" w:w="280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17"/>
                <w:szCs w:val="17"/>
              </w:rPr>
              <w:t xml:space="preserve">Varies enormously based on gap assessment findings. MFA implementation, SIEM deployment, vulnerability management tooling, encryption for data at rest. Highly dependent on current security maturity.</w:t>
            </w:r>
          </w:p>
        </w:tc>
      </w:tr>
      <w:tr>
        <w:tc>
          <w:tcPr>
            <w:tcW w:type="dxa" w:w="2600"/>
            <w:tcBorders>
              <w:top w:val="single" w:color="DBEAFE" w:sz="1"/>
              <w:left w:val="single" w:color="DBEAFE" w:sz="1"/>
              <w:bottom w:val="single" w:color="DBEAFE" w:sz="1"/>
              <w:right w:val="single" w:color="DBEAFE" w:sz="1"/>
            </w:tcBorders>
            <w:shd w:fill="EBF2FB" w:val="clear"/>
            <w:tcMar>
              <w:top w:type="dxa" w:w="90"/>
              <w:left w:type="dxa" w:w="110"/>
              <w:bottom w:type="dxa" w:w="90"/>
              <w:right w:type="dxa" w:w="110"/>
            </w:tcMar>
          </w:tcPr>
          <w:p>
            <w:r>
              <w:rPr>
                <w:rFonts w:ascii="Arial" w:cs="Arial" w:eastAsia="Arial" w:hAnsi="Arial"/>
                <w:b/>
                <w:bCs/>
                <w:color w:val="1B3A5C"/>
                <w:sz w:val="18"/>
                <w:szCs w:val="18"/>
              </w:rPr>
              <w:t xml:space="preserve">Internal Auditor Training / Qualification</w:t>
            </w:r>
          </w:p>
        </w:tc>
        <w:tc>
          <w:tcPr>
            <w:tcW w:type="dxa" w:w="1000"/>
            <w:tcBorders>
              <w:top w:val="single" w:color="DBEAFE" w:sz="1"/>
              <w:left w:val="single" w:color="DBEAFE" w:sz="1"/>
              <w:bottom w:val="single" w:color="DBEAFE" w:sz="1"/>
              <w:right w:val="single" w:color="DBEAFE" w:sz="1"/>
            </w:tcBorders>
            <w:shd w:fill="F3F4F6" w:val="clear"/>
            <w:tcMar>
              <w:top w:type="dxa" w:w="90"/>
              <w:left w:type="dxa" w:w="100"/>
              <w:bottom w:type="dxa" w:w="90"/>
              <w:right w:type="dxa" w:w="100"/>
            </w:tcMar>
          </w:tcPr>
          <w:p>
            <w:r>
              <w:rPr>
                <w:rFonts w:ascii="Georgia" w:cs="Georgia" w:eastAsia="Georgia" w:hAnsi="Georgia"/>
                <w:color w:val="4B5563"/>
                <w:sz w:val="17"/>
                <w:szCs w:val="17"/>
              </w:rPr>
              <w:t xml:space="preserve">Personnel</w:t>
            </w:r>
          </w:p>
        </w:tc>
        <w:tc>
          <w:tcPr>
            <w:tcW w:type="dxa" w:w="1480"/>
            <w:tcBorders>
              <w:top w:val="single" w:color="DBEAFE" w:sz="1"/>
              <w:left w:val="single" w:color="DBEAFE" w:sz="1"/>
              <w:bottom w:val="single" w:color="DBEAFE" w:sz="1"/>
              <w:right w:val="single" w:color="DBEAFE" w:sz="1"/>
            </w:tcBorders>
            <w:shd w:fill="ECFDF5" w:val="clear"/>
            <w:tcMar>
              <w:top w:type="dxa" w:w="90"/>
              <w:left w:type="dxa" w:w="100"/>
              <w:bottom w:type="dxa" w:w="90"/>
              <w:right w:type="dxa" w:w="100"/>
            </w:tcMar>
          </w:tcPr>
          <w:p>
            <w:r>
              <w:rPr>
                <w:rFonts w:ascii="Arial" w:cs="Arial" w:eastAsia="Arial" w:hAnsi="Arial"/>
                <w:b/>
                <w:bCs/>
                <w:color w:val="065F46"/>
                <w:sz w:val="18"/>
                <w:szCs w:val="18"/>
              </w:rPr>
              <w:t xml:space="preserve">IDR 8–20M</w:t>
            </w:r>
          </w:p>
        </w:tc>
        <w:tc>
          <w:tcPr>
            <w:tcW w:type="dxa" w:w="1480"/>
            <w:tcBorders>
              <w:top w:val="single" w:color="DBEAFE" w:sz="1"/>
              <w:left w:val="single" w:color="DBEAFE" w:sz="1"/>
              <w:bottom w:val="single" w:color="DBEAFE" w:sz="1"/>
              <w:right w:val="single" w:color="DBEAFE" w:sz="1"/>
            </w:tcBorders>
            <w:shd w:fill="FFFBEB" w:val="clear"/>
            <w:tcMar>
              <w:top w:type="dxa" w:w="90"/>
              <w:left w:type="dxa" w:w="100"/>
              <w:bottom w:type="dxa" w:w="90"/>
              <w:right w:type="dxa" w:w="100"/>
            </w:tcMar>
          </w:tcPr>
          <w:p>
            <w:r>
              <w:rPr>
                <w:rFonts w:ascii="Arial" w:cs="Arial" w:eastAsia="Arial" w:hAnsi="Arial"/>
                <w:b/>
                <w:bCs/>
                <w:color w:val="B45309"/>
                <w:sz w:val="18"/>
                <w:szCs w:val="18"/>
              </w:rPr>
              <w:t xml:space="preserve">IDR 15–40M</w:t>
            </w:r>
          </w:p>
        </w:tc>
        <w:tc>
          <w:tcPr>
            <w:tcW w:type="dxa" w:w="280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7"/>
                <w:szCs w:val="17"/>
              </w:rPr>
              <w:t xml:space="preserve">ISO 27001 internal auditor certification course for ISMS team members. Required to run a credible internal audit program independently.</w:t>
            </w:r>
          </w:p>
        </w:tc>
      </w:tr>
      <w:tr>
        <w:tc>
          <w:tcPr>
            <w:tcW w:type="dxa" w:w="2600"/>
            <w:tcBorders>
              <w:top w:val="single" w:color="DBEAFE" w:sz="1"/>
              <w:left w:val="single" w:color="DBEAFE" w:sz="1"/>
              <w:bottom w:val="single" w:color="DBEAFE" w:sz="1"/>
              <w:right w:val="single" w:color="DBEAFE" w:sz="1"/>
            </w:tcBorders>
            <w:shd w:fill="F0F7FF" w:val="clear"/>
            <w:tcMar>
              <w:top w:type="dxa" w:w="90"/>
              <w:left w:type="dxa" w:w="110"/>
              <w:bottom w:type="dxa" w:w="90"/>
              <w:right w:type="dxa" w:w="110"/>
            </w:tcMar>
          </w:tcPr>
          <w:p>
            <w:r>
              <w:rPr>
                <w:rFonts w:ascii="Arial" w:cs="Arial" w:eastAsia="Arial" w:hAnsi="Arial"/>
                <w:b/>
                <w:bCs/>
                <w:color w:val="1B3A5C"/>
                <w:sz w:val="18"/>
                <w:szCs w:val="18"/>
              </w:rPr>
              <w:t xml:space="preserve">Legal / Regulatory Review</w:t>
            </w:r>
          </w:p>
        </w:tc>
        <w:tc>
          <w:tcPr>
            <w:tcW w:type="dxa" w:w="1000"/>
            <w:tcBorders>
              <w:top w:val="single" w:color="DBEAFE" w:sz="1"/>
              <w:left w:val="single" w:color="DBEAFE" w:sz="1"/>
              <w:bottom w:val="single" w:color="DBEAFE" w:sz="1"/>
              <w:right w:val="single" w:color="DBEAFE" w:sz="1"/>
            </w:tcBorders>
            <w:shd w:fill="FFFFFF" w:val="clear"/>
            <w:tcMar>
              <w:top w:type="dxa" w:w="90"/>
              <w:left w:type="dxa" w:w="100"/>
              <w:bottom w:type="dxa" w:w="90"/>
              <w:right w:type="dxa" w:w="100"/>
            </w:tcMar>
          </w:tcPr>
          <w:p>
            <w:r>
              <w:rPr>
                <w:rFonts w:ascii="Georgia" w:cs="Georgia" w:eastAsia="Georgia" w:hAnsi="Georgia"/>
                <w:color w:val="4B5563"/>
                <w:sz w:val="17"/>
                <w:szCs w:val="17"/>
              </w:rPr>
              <w:t xml:space="preserve">Advisory</w:t>
            </w:r>
          </w:p>
        </w:tc>
        <w:tc>
          <w:tcPr>
            <w:tcW w:type="dxa" w:w="1480"/>
            <w:tcBorders>
              <w:top w:val="single" w:color="DBEAFE" w:sz="1"/>
              <w:left w:val="single" w:color="DBEAFE" w:sz="1"/>
              <w:bottom w:val="single" w:color="DBEAFE" w:sz="1"/>
              <w:right w:val="single" w:color="DBEAFE" w:sz="1"/>
            </w:tcBorders>
            <w:shd w:fill="ECFDF5" w:val="clear"/>
            <w:tcMar>
              <w:top w:type="dxa" w:w="90"/>
              <w:left w:type="dxa" w:w="100"/>
              <w:bottom w:type="dxa" w:w="90"/>
              <w:right w:type="dxa" w:w="100"/>
            </w:tcMar>
          </w:tcPr>
          <w:p>
            <w:r>
              <w:rPr>
                <w:rFonts w:ascii="Arial" w:cs="Arial" w:eastAsia="Arial" w:hAnsi="Arial"/>
                <w:b/>
                <w:bCs/>
                <w:color w:val="065F46"/>
                <w:sz w:val="18"/>
                <w:szCs w:val="18"/>
              </w:rPr>
              <w:t xml:space="preserve">IDR 15–40M</w:t>
            </w:r>
          </w:p>
        </w:tc>
        <w:tc>
          <w:tcPr>
            <w:tcW w:type="dxa" w:w="1480"/>
            <w:tcBorders>
              <w:top w:val="single" w:color="DBEAFE" w:sz="1"/>
              <w:left w:val="single" w:color="DBEAFE" w:sz="1"/>
              <w:bottom w:val="single" w:color="DBEAFE" w:sz="1"/>
              <w:right w:val="single" w:color="DBEAFE" w:sz="1"/>
            </w:tcBorders>
            <w:shd w:fill="FFFBEB" w:val="clear"/>
            <w:tcMar>
              <w:top w:type="dxa" w:w="90"/>
              <w:left w:type="dxa" w:w="100"/>
              <w:bottom w:type="dxa" w:w="90"/>
              <w:right w:type="dxa" w:w="100"/>
            </w:tcMar>
          </w:tcPr>
          <w:p>
            <w:r>
              <w:rPr>
                <w:rFonts w:ascii="Arial" w:cs="Arial" w:eastAsia="Arial" w:hAnsi="Arial"/>
                <w:b/>
                <w:bCs/>
                <w:color w:val="B45309"/>
                <w:sz w:val="18"/>
                <w:szCs w:val="18"/>
              </w:rPr>
              <w:t xml:space="preserve">IDR 30–80M</w:t>
            </w:r>
          </w:p>
        </w:tc>
        <w:tc>
          <w:tcPr>
            <w:tcW w:type="dxa" w:w="280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17"/>
                <w:szCs w:val="17"/>
              </w:rPr>
              <w:t xml:space="preserve">Legal review of supplier contracts for security addenda, DPA compliance with UU PDP, and interpretation of POJK/BI regulatory requirements as they apply to the ISMS scope.</w:t>
            </w:r>
          </w:p>
        </w:tc>
      </w:tr>
    </w:tbl>
    <w:p>
      <w:pPr>
        <w:spacing w:after="160"/>
      </w:pPr>
      <w:r>
        <w:t xml:space="preserve"/>
      </w:r>
    </w:p>
    <w:p>
      <w:pPr>
        <w:pStyle w:val="Heading3"/>
        <w:spacing w:after="120" w:before="280"/>
      </w:pPr>
      <w:r>
        <w:rPr>
          <w:rFonts w:ascii="Arial" w:cs="Arial" w:eastAsia="Arial" w:hAnsi="Arial"/>
          <w:b/>
          <w:bCs/>
          <w:color w:val="2563A8"/>
          <w:sz w:val="24"/>
          <w:szCs w:val="24"/>
        </w:rPr>
        <w:t xml:space="preserve">The Total Cost of Ownership Perspective</w:t>
      </w:r>
    </w:p>
    <w:p>
      <w:pPr>
        <w:spacing w:after="80"/>
      </w:pPr>
      <w:r>
        <w:t xml:space="preserve"/>
      </w:r>
    </w:p>
    <w:p>
      <w:pPr>
        <w:spacing w:after="160" w:line="320"/>
        <w:jc w:val="both"/>
      </w:pPr>
      <w:r>
        <w:rPr>
          <w:rFonts w:ascii="Georgia" w:cs="Georgia" w:eastAsia="Georgia" w:hAnsi="Georgia"/>
          <w:color w:val="111827"/>
          <w:sz w:val="22"/>
          <w:szCs w:val="22"/>
        </w:rPr>
        <w:t xml:space="preserve">The figures above represent first-cycle implementation costs. Ongoing ISMS operation has its own cost profile: annual surveillance audit fees (approximately 30–40% of the initial certification audit cost), continued GRC platform subscription, annual awareness training delivery, internal audit program operation, and the management time for quarterly monitoring and annual management review cycles. These ongoing costs are typically 20–30% of the first-year implementation cost in subsequent years.</w:t>
      </w:r>
    </w:p>
    <w:p>
      <w:pPr>
        <w:spacing w:after="80"/>
      </w:pPr>
      <w:r>
        <w:t xml:space="preserve"/>
      </w:r>
    </w:p>
    <w:p>
      <w:pPr>
        <w:spacing w:after="160" w:line="320"/>
        <w:jc w:val="both"/>
      </w:pPr>
      <w:r>
        <w:rPr>
          <w:rFonts w:ascii="Georgia" w:cs="Georgia" w:eastAsia="Georgia" w:hAnsi="Georgia"/>
          <w:color w:val="111827"/>
          <w:sz w:val="22"/>
          <w:szCs w:val="22"/>
        </w:rPr>
        <w:t xml:space="preserve">When presenting the business case to the executive team, frame the total cost against the avoided cost: the average data breach cost for Indonesian organizations is now IDR 52–78 billion, regulatory fines under UU PDP can reach IDR 5–50 billion per incident, and the market access cost of not being certified — lost contracts, delayed procurement decisions, failed vendor qualifications — is real and growing. The ROI case for ISO 27001 has become significantly stronger since UU PDP enforcement began.</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Establishing Project Governance</w:t>
      </w:r>
    </w:p>
    <w:p>
      <w:pPr>
        <w:spacing w:after="80"/>
      </w:pPr>
      <w:r>
        <w:t xml:space="preserve"/>
      </w:r>
    </w:p>
    <w:p>
      <w:pPr>
        <w:spacing w:after="160" w:line="320"/>
        <w:jc w:val="both"/>
      </w:pPr>
      <w:r>
        <w:rPr>
          <w:rFonts w:ascii="Georgia" w:cs="Georgia" w:eastAsia="Georgia" w:hAnsi="Georgia"/>
          <w:color w:val="111827"/>
          <w:sz w:val="22"/>
          <w:szCs w:val="22"/>
        </w:rPr>
        <w:t xml:space="preserve">A twelve-month implementation program that touches multiple business units, requires regular executive decisions, and culminates in a high-stakes external audit needs more governance structure than a typical IT project. The governance model for an ISO 27001 implementation should include three components.</w:t>
      </w:r>
    </w:p>
    <w:p>
      <w:pPr>
        <w:spacing w:after="80"/>
      </w:pPr>
      <w:r>
        <w:t xml:space="preserve"/>
      </w:r>
    </w:p>
    <w:p>
      <w:pPr>
        <w:pStyle w:val="Heading3"/>
        <w:spacing w:after="120" w:before="280"/>
      </w:pPr>
      <w:r>
        <w:rPr>
          <w:rFonts w:ascii="Arial" w:cs="Arial" w:eastAsia="Arial" w:hAnsi="Arial"/>
          <w:b/>
          <w:bCs/>
          <w:color w:val="2563A8"/>
          <w:sz w:val="24"/>
          <w:szCs w:val="24"/>
        </w:rPr>
        <w:t xml:space="preserve">Steering Committee</w:t>
      </w:r>
    </w:p>
    <w:p>
      <w:pPr>
        <w:spacing w:after="80"/>
      </w:pPr>
      <w:r>
        <w:t xml:space="preserve"/>
      </w:r>
    </w:p>
    <w:p>
      <w:pPr>
        <w:spacing w:after="160" w:line="320"/>
        <w:jc w:val="both"/>
      </w:pPr>
      <w:r>
        <w:rPr>
          <w:rFonts w:ascii="Georgia" w:cs="Georgia" w:eastAsia="Georgia" w:hAnsi="Georgia"/>
          <w:color w:val="111827"/>
          <w:sz w:val="22"/>
          <w:szCs w:val="22"/>
        </w:rPr>
        <w:t xml:space="preserve">A steering committee meeting monthly brings together the executive sponsor, the ISMS Lead, and representatives from IT, Legal, and key business units. Its mandate is to make resource and priority decisions, receive implementation progress reports, resolve cross-functional conflicts, and maintain executive visibility into the project's trajectory. The steering committee chair is the executive sponsor — not the ISMS Lead. Minutes should be retained.</w:t>
      </w:r>
    </w:p>
    <w:p>
      <w:pPr>
        <w:spacing w:after="80"/>
      </w:pPr>
      <w:r>
        <w:t xml:space="preserve"/>
      </w:r>
    </w:p>
    <w:p>
      <w:pPr>
        <w:pStyle w:val="Heading3"/>
        <w:spacing w:after="120" w:before="280"/>
      </w:pPr>
      <w:r>
        <w:rPr>
          <w:rFonts w:ascii="Arial" w:cs="Arial" w:eastAsia="Arial" w:hAnsi="Arial"/>
          <w:b/>
          <w:bCs/>
          <w:color w:val="2563A8"/>
          <w:sz w:val="24"/>
          <w:szCs w:val="24"/>
        </w:rPr>
        <w:t xml:space="preserve">Working Group</w:t>
      </w:r>
    </w:p>
    <w:p>
      <w:pPr>
        <w:spacing w:after="80"/>
      </w:pPr>
      <w:r>
        <w:t xml:space="preserve"/>
      </w:r>
    </w:p>
    <w:p>
      <w:pPr>
        <w:spacing w:after="160" w:line="320"/>
        <w:jc w:val="both"/>
      </w:pPr>
      <w:r>
        <w:rPr>
          <w:rFonts w:ascii="Georgia" w:cs="Georgia" w:eastAsia="Georgia" w:hAnsi="Georgia"/>
          <w:color w:val="111827"/>
          <w:sz w:val="22"/>
          <w:szCs w:val="22"/>
        </w:rPr>
        <w:t xml:space="preserve">A working group meeting bi-weekly manages the tactical implementation — reviewing gap assessment findings, progressing policy development, tracking control implementation milestones, and preparing for audit activities. The working group is led by the ISMS Lead and includes the IT representative, legal representative, and any consultant. This is the engine of the implementation.</w:t>
      </w:r>
    </w:p>
    <w:p>
      <w:pPr>
        <w:spacing w:after="80"/>
      </w:pPr>
      <w:r>
        <w:t xml:space="preserve"/>
      </w:r>
    </w:p>
    <w:p>
      <w:pPr>
        <w:pStyle w:val="Heading3"/>
        <w:spacing w:after="120" w:before="280"/>
      </w:pPr>
      <w:r>
        <w:rPr>
          <w:rFonts w:ascii="Arial" w:cs="Arial" w:eastAsia="Arial" w:hAnsi="Arial"/>
          <w:b/>
          <w:bCs/>
          <w:color w:val="2563A8"/>
          <w:sz w:val="24"/>
          <w:szCs w:val="24"/>
        </w:rPr>
        <w:t xml:space="preserve">ISMS Dashboard and Reporting</w:t>
      </w:r>
    </w:p>
    <w:p>
      <w:pPr>
        <w:spacing w:after="80"/>
      </w:pPr>
      <w:r>
        <w:t xml:space="preserve"/>
      </w:r>
    </w:p>
    <w:p>
      <w:pPr>
        <w:spacing w:after="160" w:line="320"/>
        <w:jc w:val="both"/>
      </w:pPr>
      <w:r>
        <w:rPr>
          <w:rFonts w:ascii="Georgia" w:cs="Georgia" w:eastAsia="Georgia" w:hAnsi="Georgia"/>
          <w:color w:val="111827"/>
          <w:sz w:val="22"/>
          <w:szCs w:val="22"/>
        </w:rPr>
        <w:t xml:space="preserve">A simple implementation dashboard — tracking phase completion, milestone status, open actions, and key risks to the timeline — keeps all stakeholders informed without requiring attendance at every meeting. Updated weekly by the ISMS Lead and shared to the steering committee ahead of monthly meetings. The GRC platform typically provides this capability natively once set up.</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6D28D9" w:sz="1"/>
              <w:left w:val="single" w:color="6D28D9" w:sz="12"/>
              <w:bottom w:val="single" w:color="6D28D9" w:sz="1"/>
              <w:right w:val="single" w:color="6D28D9" w:sz="1"/>
            </w:tcBorders>
            <w:shd w:fill="F5F3FF" w:val="clear"/>
            <w:tcMar>
              <w:top w:type="dxa" w:w="140"/>
              <w:left w:type="dxa" w:w="200"/>
              <w:bottom w:type="dxa" w:w="140"/>
              <w:right w:type="dxa" w:w="160"/>
            </w:tcMar>
          </w:tcPr>
          <w:p>
            <w:r>
              <w:rPr>
                <w:rFonts w:ascii="Georgia" w:cs="Georgia" w:eastAsia="Georgia" w:hAnsi="Georgia"/>
                <w:i/>
                <w:iCs/>
                <w:color w:val="6D28D9"/>
                <w:sz w:val="21"/>
                <w:szCs w:val="21"/>
              </w:rPr>
              <w:t xml:space="preserve">Governance as evidence: The steering committee minutes, working group records, and project dashboard are not just management tools — they are evidence that the ISMS implementation was a genuine organizational program, not a last-minute documentation sprint before the audit. Certification auditors routinely review the implementation history to assess whether the ISMS was built with organizational intent or fabricated for compliance. A clean governance trail significantly strengthens the organization's position in the Stage 1 audit.</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Pre-Launch Readiness Gates</w:t>
      </w:r>
    </w:p>
    <w:p>
      <w:pPr>
        <w:spacing w:after="80"/>
      </w:pPr>
      <w:r>
        <w:t xml:space="preserve"/>
      </w:r>
    </w:p>
    <w:p>
      <w:pPr>
        <w:spacing w:after="160" w:line="320"/>
        <w:jc w:val="both"/>
      </w:pPr>
      <w:r>
        <w:rPr>
          <w:rFonts w:ascii="Georgia" w:cs="Georgia" w:eastAsia="Georgia" w:hAnsi="Georgia"/>
          <w:color w:val="111827"/>
          <w:sz w:val="22"/>
          <w:szCs w:val="22"/>
        </w:rPr>
        <w:t xml:space="preserve">Before formal implementation work begins, eight readiness gates should be cleared. These are not bureaucratic prerequisites — each one represents a precondition whose absence predictably causes downstream problems. The checklist below can be used as a formal go/no-go assessment before the project launch date:</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6160"/>
      </w:tblGrid>
      <w:tr>
        <w:tc>
          <w:tcPr>
            <w:tcW w:type="dxa" w:w="3200"/>
            <w:tcBorders>
              <w:top w:val="single" w:color="DBEAFE" w:sz="1"/>
              <w:left w:val="single" w:color="DBEAFE" w:sz="1"/>
              <w:bottom w:val="single" w:color="DBEAFE" w:sz="1"/>
              <w:right w:val="single" w:color="DBEAFE" w:sz="1"/>
            </w:tcBorders>
            <w:shd w:fill="1B3A5C" w:val="clear"/>
            <w:tcMar>
              <w:top w:type="dxa" w:w="90"/>
              <w:left w:type="dxa" w:w="120"/>
              <w:bottom w:type="dxa" w:w="90"/>
              <w:right w:type="dxa" w:w="120"/>
            </w:tcMar>
          </w:tcPr>
          <w:p>
            <w:r>
              <w:rPr>
                <w:rFonts w:ascii="Arial" w:cs="Arial" w:eastAsia="Arial" w:hAnsi="Arial"/>
                <w:b/>
                <w:bCs/>
                <w:color w:val="FFFFFF"/>
                <w:sz w:val="19"/>
                <w:szCs w:val="19"/>
              </w:rPr>
              <w:t xml:space="preserve">Readiness gate</w:t>
            </w:r>
          </w:p>
        </w:tc>
        <w:tc>
          <w:tcPr>
            <w:tcW w:type="dxa" w:w="6160"/>
            <w:tcBorders>
              <w:top w:val="single" w:color="DBEAFE" w:sz="1"/>
              <w:left w:val="single" w:color="DBEAFE" w:sz="1"/>
              <w:bottom w:val="single" w:color="DBEAFE" w:sz="1"/>
              <w:right w:val="single" w:color="DBEAFE" w:sz="1"/>
            </w:tcBorders>
            <w:shd w:fill="1B3A5C" w:val="clear"/>
            <w:tcMar>
              <w:top w:type="dxa" w:w="90"/>
              <w:left w:type="dxa" w:w="120"/>
              <w:bottom w:type="dxa" w:w="90"/>
              <w:right w:type="dxa" w:w="120"/>
            </w:tcMar>
          </w:tcPr>
          <w:p>
            <w:r>
              <w:rPr>
                <w:rFonts w:ascii="Arial" w:cs="Arial" w:eastAsia="Arial" w:hAnsi="Arial"/>
                <w:b/>
                <w:bCs/>
                <w:color w:val="FFFFFF"/>
                <w:sz w:val="19"/>
                <w:szCs w:val="19"/>
              </w:rPr>
              <w:t xml:space="preserve">What it requires before the project starts</w:t>
            </w:r>
          </w:p>
        </w:tc>
      </w:tr>
      <w:tr>
        <w:tc>
          <w:tcPr>
            <w:tcW w:type="dxa" w:w="3200"/>
            <w:tcBorders>
              <w:top w:val="single" w:color="DBEAFE" w:sz="1"/>
              <w:left w:val="single" w:color="DBEAFE" w:sz="1"/>
              <w:bottom w:val="single" w:color="DBEAFE" w:sz="1"/>
              <w:right w:val="single" w:color="DBEAFE" w:sz="1"/>
            </w:tcBorders>
            <w:shd w:fill="1B3A5C" w:val="clear"/>
            <w:tcMar>
              <w:top w:type="dxa" w:w="100"/>
              <w:left w:type="dxa" w:w="120"/>
              <w:bottom w:type="dxa" w:w="100"/>
              <w:right w:type="dxa" w:w="120"/>
            </w:tcMar>
          </w:tcPr>
          <w:p>
            <w:r>
              <w:rPr>
                <w:rFonts w:ascii="Arial" w:cs="Arial" w:eastAsia="Arial" w:hAnsi="Arial"/>
                <w:b/>
                <w:bCs/>
                <w:color w:val="FFFFFF"/>
                <w:sz w:val="19"/>
                <w:szCs w:val="19"/>
              </w:rPr>
              <w:t xml:space="preserve">☐  Executive mandate confirmed</w:t>
            </w:r>
          </w:p>
        </w:tc>
        <w:tc>
          <w:tcPr>
            <w:tcW w:type="dxa" w:w="616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Georgia" w:cs="Georgia" w:eastAsia="Georgia" w:hAnsi="Georgia"/>
                <w:color w:val="111827"/>
                <w:sz w:val="19"/>
                <w:szCs w:val="19"/>
              </w:rPr>
              <w:t xml:space="preserve">Written or formally minuted commitment from the CEO or equivalent authorizing the ISMS implementation project, with budget allocation and ISMS Lead appointment.</w:t>
            </w:r>
          </w:p>
        </w:tc>
      </w:tr>
      <w:tr>
        <w:tc>
          <w:tcPr>
            <w:tcW w:type="dxa" w:w="3200"/>
            <w:tcBorders>
              <w:top w:val="single" w:color="DBEAFE" w:sz="1"/>
              <w:left w:val="single" w:color="DBEAFE" w:sz="1"/>
              <w:bottom w:val="single" w:color="DBEAFE" w:sz="1"/>
              <w:right w:val="single" w:color="DBEAFE" w:sz="1"/>
            </w:tcBorders>
            <w:shd w:fill="2563A8" w:val="clear"/>
            <w:tcMar>
              <w:top w:type="dxa" w:w="100"/>
              <w:left w:type="dxa" w:w="120"/>
              <w:bottom w:type="dxa" w:w="100"/>
              <w:right w:type="dxa" w:w="120"/>
            </w:tcMar>
          </w:tcPr>
          <w:p>
            <w:r>
              <w:rPr>
                <w:rFonts w:ascii="Arial" w:cs="Arial" w:eastAsia="Arial" w:hAnsi="Arial"/>
                <w:b/>
                <w:bCs/>
                <w:color w:val="FFFFFF"/>
                <w:sz w:val="19"/>
                <w:szCs w:val="19"/>
              </w:rPr>
              <w:t xml:space="preserve">☐  ISMS Lead appointed and resourced</w:t>
            </w:r>
          </w:p>
        </w:tc>
        <w:tc>
          <w:tcPr>
            <w:tcW w:type="dxa" w:w="616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color w:val="111827"/>
                <w:sz w:val="19"/>
                <w:szCs w:val="19"/>
              </w:rPr>
              <w:t xml:space="preserve">Named individual with appropriate competence assigned at sufficient FTE (minimum 50%) to lead the implementation. Not a side project for the IT Manager.</w:t>
            </w:r>
          </w:p>
        </w:tc>
      </w:tr>
      <w:tr>
        <w:tc>
          <w:tcPr>
            <w:tcW w:type="dxa" w:w="3200"/>
            <w:tcBorders>
              <w:top w:val="single" w:color="DBEAFE" w:sz="1"/>
              <w:left w:val="single" w:color="DBEAFE" w:sz="1"/>
              <w:bottom w:val="single" w:color="DBEAFE" w:sz="1"/>
              <w:right w:val="single" w:color="DBEAFE" w:sz="1"/>
            </w:tcBorders>
            <w:shd w:fill="0F766E" w:val="clear"/>
            <w:tcMar>
              <w:top w:type="dxa" w:w="100"/>
              <w:left w:type="dxa" w:w="120"/>
              <w:bottom w:type="dxa" w:w="100"/>
              <w:right w:type="dxa" w:w="120"/>
            </w:tcMar>
          </w:tcPr>
          <w:p>
            <w:r>
              <w:rPr>
                <w:rFonts w:ascii="Arial" w:cs="Arial" w:eastAsia="Arial" w:hAnsi="Arial"/>
                <w:b/>
                <w:bCs/>
                <w:color w:val="FFFFFF"/>
                <w:sz w:val="19"/>
                <w:szCs w:val="19"/>
              </w:rPr>
              <w:t xml:space="preserve">☐  Provisional scope agreed</w:t>
            </w:r>
          </w:p>
        </w:tc>
        <w:tc>
          <w:tcPr>
            <w:tcW w:type="dxa" w:w="616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Georgia" w:cs="Georgia" w:eastAsia="Georgia" w:hAnsi="Georgia"/>
                <w:color w:val="111827"/>
                <w:sz w:val="19"/>
                <w:szCs w:val="19"/>
              </w:rPr>
              <w:t xml:space="preserve">Initial scope boundary documented and agreed with the executive sponsor. Refined during Phase 2 gap assessment, but a starting position is needed before work begins.</w:t>
            </w:r>
          </w:p>
        </w:tc>
      </w:tr>
      <w:tr>
        <w:tc>
          <w:tcPr>
            <w:tcW w:type="dxa" w:w="3200"/>
            <w:tcBorders>
              <w:top w:val="single" w:color="DBEAFE" w:sz="1"/>
              <w:left w:val="single" w:color="DBEAFE" w:sz="1"/>
              <w:bottom w:val="single" w:color="DBEAFE" w:sz="1"/>
              <w:right w:val="single" w:color="DBEAFE" w:sz="1"/>
            </w:tcBorders>
            <w:shd w:fill="3730A3" w:val="clear"/>
            <w:tcMar>
              <w:top w:type="dxa" w:w="100"/>
              <w:left w:type="dxa" w:w="120"/>
              <w:bottom w:type="dxa" w:w="100"/>
              <w:right w:type="dxa" w:w="120"/>
            </w:tcMar>
          </w:tcPr>
          <w:p>
            <w:r>
              <w:rPr>
                <w:rFonts w:ascii="Arial" w:cs="Arial" w:eastAsia="Arial" w:hAnsi="Arial"/>
                <w:b/>
                <w:bCs/>
                <w:color w:val="FFFFFF"/>
                <w:sz w:val="19"/>
                <w:szCs w:val="19"/>
              </w:rPr>
              <w:t xml:space="preserve">☐  Budget approved</w:t>
            </w:r>
          </w:p>
        </w:tc>
        <w:tc>
          <w:tcPr>
            <w:tcW w:type="dxa" w:w="616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color w:val="111827"/>
                <w:sz w:val="19"/>
                <w:szCs w:val="19"/>
              </w:rPr>
              <w:t xml:space="preserve">Specific budget line approved for ISMS implementation — covering at minimum: GRC platform, certification body, consultant (if used), and staff time. Not absorbed into the general IT budget.</w:t>
            </w:r>
          </w:p>
        </w:tc>
      </w:tr>
      <w:tr>
        <w:tc>
          <w:tcPr>
            <w:tcW w:type="dxa" w:w="3200"/>
            <w:tcBorders>
              <w:top w:val="single" w:color="DBEAFE" w:sz="1"/>
              <w:left w:val="single" w:color="DBEAFE" w:sz="1"/>
              <w:bottom w:val="single" w:color="DBEAFE" w:sz="1"/>
              <w:right w:val="single" w:color="DBEAFE" w:sz="1"/>
            </w:tcBorders>
            <w:shd w:fill="6D28D9" w:val="clear"/>
            <w:tcMar>
              <w:top w:type="dxa" w:w="100"/>
              <w:left w:type="dxa" w:w="120"/>
              <w:bottom w:type="dxa" w:w="100"/>
              <w:right w:type="dxa" w:w="120"/>
            </w:tcMar>
          </w:tcPr>
          <w:p>
            <w:r>
              <w:rPr>
                <w:rFonts w:ascii="Arial" w:cs="Arial" w:eastAsia="Arial" w:hAnsi="Arial"/>
                <w:b/>
                <w:bCs/>
                <w:color w:val="FFFFFF"/>
                <w:sz w:val="19"/>
                <w:szCs w:val="19"/>
              </w:rPr>
              <w:t xml:space="preserve">☐  Cross-functional team identified</w:t>
            </w:r>
          </w:p>
        </w:tc>
        <w:tc>
          <w:tcPr>
            <w:tcW w:type="dxa" w:w="616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Georgia" w:cs="Georgia" w:eastAsia="Georgia" w:hAnsi="Georgia"/>
                <w:color w:val="111827"/>
                <w:sz w:val="19"/>
                <w:szCs w:val="19"/>
              </w:rPr>
              <w:t xml:space="preserve">Named representatives from IT/Engineering, Legal/Compliance, and key business units in scope. Not just awareness — active participation with defined time commitment.</w:t>
            </w:r>
          </w:p>
        </w:tc>
      </w:tr>
      <w:tr>
        <w:tc>
          <w:tcPr>
            <w:tcW w:type="dxa" w:w="3200"/>
            <w:tcBorders>
              <w:top w:val="single" w:color="DBEAFE" w:sz="1"/>
              <w:left w:val="single" w:color="DBEAFE" w:sz="1"/>
              <w:bottom w:val="single" w:color="DBEAFE" w:sz="1"/>
              <w:right w:val="single" w:color="DBEAFE" w:sz="1"/>
            </w:tcBorders>
            <w:shd w:fill="B45309" w:val="clear"/>
            <w:tcMar>
              <w:top w:type="dxa" w:w="100"/>
              <w:left w:type="dxa" w:w="120"/>
              <w:bottom w:type="dxa" w:w="100"/>
              <w:right w:type="dxa" w:w="120"/>
            </w:tcMar>
          </w:tcPr>
          <w:p>
            <w:r>
              <w:rPr>
                <w:rFonts w:ascii="Arial" w:cs="Arial" w:eastAsia="Arial" w:hAnsi="Arial"/>
                <w:b/>
                <w:bCs/>
                <w:color w:val="FFFFFF"/>
                <w:sz w:val="19"/>
                <w:szCs w:val="19"/>
              </w:rPr>
              <w:t xml:space="preserve">☐  Certification body engaged</w:t>
            </w:r>
          </w:p>
        </w:tc>
        <w:tc>
          <w:tcPr>
            <w:tcW w:type="dxa" w:w="616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color w:val="111827"/>
                <w:sz w:val="19"/>
                <w:szCs w:val="19"/>
              </w:rPr>
              <w:t xml:space="preserve">Initial conversation with at least one accredited certification body to understand Stage 1 and Stage 2 requirements, timeline, and cost. Not contracted yet — but engaged.</w:t>
            </w:r>
          </w:p>
        </w:tc>
      </w:tr>
      <w:tr>
        <w:tc>
          <w:tcPr>
            <w:tcW w:type="dxa" w:w="3200"/>
            <w:tcBorders>
              <w:top w:val="single" w:color="DBEAFE" w:sz="1"/>
              <w:left w:val="single" w:color="DBEAFE" w:sz="1"/>
              <w:bottom w:val="single" w:color="DBEAFE" w:sz="1"/>
              <w:right w:val="single" w:color="DBEAFE" w:sz="1"/>
            </w:tcBorders>
            <w:shd w:fill="0E9F6E" w:val="clear"/>
            <w:tcMar>
              <w:top w:type="dxa" w:w="100"/>
              <w:left w:type="dxa" w:w="120"/>
              <w:bottom w:type="dxa" w:w="100"/>
              <w:right w:type="dxa" w:w="120"/>
            </w:tcMar>
          </w:tcPr>
          <w:p>
            <w:r>
              <w:rPr>
                <w:rFonts w:ascii="Arial" w:cs="Arial" w:eastAsia="Arial" w:hAnsi="Arial"/>
                <w:b/>
                <w:bCs/>
                <w:color w:val="FFFFFF"/>
                <w:sz w:val="19"/>
                <w:szCs w:val="19"/>
              </w:rPr>
              <w:t xml:space="preserve">☐  GRC platform selected or decision made</w:t>
            </w:r>
          </w:p>
        </w:tc>
        <w:tc>
          <w:tcPr>
            <w:tcW w:type="dxa" w:w="616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Georgia" w:cs="Georgia" w:eastAsia="Georgia" w:hAnsi="Georgia"/>
                <w:color w:val="111827"/>
                <w:sz w:val="19"/>
                <w:szCs w:val="19"/>
              </w:rPr>
              <w:t xml:space="preserve">Decision made on GRC platform — whether to use Bitlion, an alternative, or a controlled document management approach. Tool should be in place before Phase 3 documentation work begins.</w:t>
            </w:r>
          </w:p>
        </w:tc>
      </w:tr>
      <w:tr>
        <w:tc>
          <w:tcPr>
            <w:tcW w:type="dxa" w:w="3200"/>
            <w:tcBorders>
              <w:top w:val="single" w:color="DBEAFE" w:sz="1"/>
              <w:left w:val="single" w:color="DBEAFE" w:sz="1"/>
              <w:bottom w:val="single" w:color="DBEAFE" w:sz="1"/>
              <w:right w:val="single" w:color="DBEAFE" w:sz="1"/>
            </w:tcBorders>
            <w:shd w:fill="334155" w:val="clear"/>
            <w:tcMar>
              <w:top w:type="dxa" w:w="100"/>
              <w:left w:type="dxa" w:w="120"/>
              <w:bottom w:type="dxa" w:w="100"/>
              <w:right w:type="dxa" w:w="120"/>
            </w:tcMar>
          </w:tcPr>
          <w:p>
            <w:r>
              <w:rPr>
                <w:rFonts w:ascii="Arial" w:cs="Arial" w:eastAsia="Arial" w:hAnsi="Arial"/>
                <w:b/>
                <w:bCs/>
                <w:color w:val="FFFFFF"/>
                <w:sz w:val="19"/>
                <w:szCs w:val="19"/>
              </w:rPr>
              <w:t xml:space="preserve">☐  Steering committee established</w:t>
            </w:r>
          </w:p>
        </w:tc>
        <w:tc>
          <w:tcPr>
            <w:tcW w:type="dxa" w:w="616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color w:val="111827"/>
                <w:sz w:val="19"/>
                <w:szCs w:val="19"/>
              </w:rPr>
              <w:t xml:space="preserve">Governance structure for the implementation project in place — regular cadence, escalation path for decisions, executive sponsor participation confirmed.</w:t>
            </w:r>
          </w:p>
        </w:tc>
      </w:tr>
    </w:tbl>
    <w:p>
      <w:pPr>
        <w:spacing w:after="160"/>
      </w:pPr>
      <w:r>
        <w:t xml:space="preserve"/>
      </w:r>
    </w:p>
    <w:p>
      <w:pPr>
        <w:spacing w:after="160" w:line="320"/>
        <w:jc w:val="both"/>
      </w:pPr>
      <w:r>
        <w:rPr>
          <w:rFonts w:ascii="Georgia" w:cs="Georgia" w:eastAsia="Georgia" w:hAnsi="Georgia"/>
          <w:color w:val="111827"/>
          <w:sz w:val="22"/>
          <w:szCs w:val="22"/>
        </w:rPr>
        <w:t xml:space="preserve">Organizations that cannot clear all eight gates before launch should identify which gates are blocking and address them before beginning formal implementation work. Starting an ISO 27001 project before the mandate, budget, and team are genuinely in place is one of the most reliable ways to produce a project that stalls at Phase 2 and either abandons certification or produces a superficial ISMS that fails its first audit.</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Starting Right Determines Finishing Strong</w:t>
      </w:r>
    </w:p>
    <w:p>
      <w:pPr>
        <w:spacing w:after="80"/>
      </w:pPr>
      <w:r>
        <w:t xml:space="preserve"/>
      </w:r>
    </w:p>
    <w:p>
      <w:pPr>
        <w:spacing w:after="160" w:line="320"/>
        <w:jc w:val="both"/>
      </w:pPr>
      <w:r>
        <w:rPr>
          <w:rFonts w:ascii="Georgia" w:cs="Georgia" w:eastAsia="Georgia" w:hAnsi="Georgia"/>
          <w:color w:val="111827"/>
          <w:sz w:val="22"/>
          <w:szCs w:val="22"/>
        </w:rPr>
        <w:t xml:space="preserve">The organizations that achieve ISO 27001 certification in 9 to 12 months and build genuinely effective management systems are not typically those with the largest security teams or the highest budgets. They are the ones that started with a clear mandate, a well-defined scope, an adequately resourced team, and a governance structure that kept the program on track through the inevitable friction of a cross-functional transformation.</w:t>
      </w:r>
    </w:p>
    <w:p>
      <w:pPr>
        <w:spacing w:after="80"/>
      </w:pPr>
      <w:r>
        <w:t xml:space="preserve"/>
      </w:r>
    </w:p>
    <w:p>
      <w:pPr>
        <w:spacing w:after="160" w:line="320"/>
        <w:jc w:val="both"/>
      </w:pPr>
      <w:r>
        <w:rPr>
          <w:rFonts w:ascii="Georgia" w:cs="Georgia" w:eastAsia="Georgia" w:hAnsi="Georgia"/>
          <w:color w:val="111827"/>
          <w:sz w:val="22"/>
          <w:szCs w:val="22"/>
        </w:rPr>
        <w:t xml:space="preserve">The initiation phase investments described in this article — securing the mandate, defining the scope deliberately, building the right team, establishing governance structures — pay compound returns throughout the implementation. Every subsequent phase is easier when these foundations are solid. Every subsequent phase is harder, slower, and more expensive when they are not.</w:t>
      </w:r>
    </w:p>
    <w:p>
      <w:pPr>
        <w:spacing w:after="80"/>
      </w:pPr>
      <w:r>
        <w:t xml:space="preserve"/>
      </w:r>
    </w:p>
    <w:p>
      <w:pPr>
        <w:spacing w:after="160" w:line="320"/>
        <w:jc w:val="both"/>
      </w:pPr>
      <w:r>
        <w:rPr>
          <w:rFonts w:ascii="Georgia" w:cs="Georgia" w:eastAsia="Georgia" w:hAnsi="Georgia"/>
          <w:color w:val="111827"/>
          <w:sz w:val="22"/>
          <w:szCs w:val="22"/>
        </w:rPr>
        <w:t xml:space="preserve">Take the time to get started right. The certificate at the end is the evidence that you did.</w:t>
      </w:r>
    </w:p>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NEXT ARTICLE</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3.2 — Gap Analysis and Current State Assessment: Evaluating existing security controls against ISO 27001 requirements to identify what needs to be built or improved.</w:t>
            </w:r>
          </w:p>
        </w:tc>
      </w:tr>
    </w:tbl>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eastAsia="Arial" w:hAnsi="Arial"/>
          <w:color w:val="9CA3AF"/>
          <w:sz w:val="17"/>
          <w:szCs w:val="17"/>
        </w:rPr>
        <w:t xml:space="preserve">ISO 27001 Information Security Management System Documentation  ·  Bitlion GRC Platform  ·  © 2026</w:t>
      </w:r>
    </w:p>
    <w:p>
      <w:pPr>
        <w:jc w:val="center"/>
      </w:pPr>
      <w:r>
        <w:rPr>
          <w:rFonts w:ascii="Arial" w:cs="Arial" w:eastAsia="Arial" w:hAnsi="Arial"/>
          <w:i/>
          <w:iCs/>
          <w:color w:val="9CA3AF"/>
          <w:sz w:val="17"/>
          <w:szCs w:val="17"/>
        </w:rPr>
        <w:t xml:space="preserve">This document is part of Bitlion's open compliance knowledge base.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11827"/>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0"/>
      <w:outlineLvl w:val="0"/>
    </w:pPr>
    <w:rPr>
      <w:rFonts w:ascii="Arial" w:cs="Arial" w:eastAsia="Arial" w:hAnsi="Arial"/>
      <w:b/>
      <w:bCs/>
      <w:color w:val="1B3A5C"/>
      <w:sz w:val="44"/>
      <w:szCs w:val="44"/>
    </w:rPr>
  </w:style>
  <w:style w:type="paragraph" w:styleId="Heading2">
    <w:name w:val="Heading 2"/>
    <w:basedOn w:val="Normal"/>
    <w:next w:val="Normal"/>
    <w:qFormat/>
    <w:pPr>
      <w:spacing w:after="160" w:before="400"/>
      <w:outlineLvl w:val="1"/>
    </w:pPr>
    <w:rPr>
      <w:rFonts w:ascii="Arial" w:cs="Arial" w:eastAsia="Arial" w:hAnsi="Arial"/>
      <w:b/>
      <w:bCs/>
      <w:color w:val="1B3A5C"/>
      <w:sz w:val="28"/>
      <w:szCs w:val="28"/>
    </w:rPr>
  </w:style>
  <w:style w:type="paragraph" w:styleId="Heading3">
    <w:name w:val="Heading 3"/>
    <w:basedOn w:val="Normal"/>
    <w:next w:val="Normal"/>
    <w:qFormat/>
    <w:pPr>
      <w:spacing w:after="120" w:before="280"/>
      <w:outlineLvl w:val="2"/>
    </w:pPr>
    <w:rPr>
      <w:rFonts w:ascii="Arial" w:cs="Arial" w:eastAsia="Arial" w:hAnsi="Arial"/>
      <w:b/>
      <w:bCs/>
      <w:color w:val="2563A8"/>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2026-03-18T04:10:19.962Z</dcterms:created>
  <dcterms:modified xsi:type="dcterms:W3CDTF">2026-03-18T04:10:19.963Z</dcterms:modified>
</cp:coreProperties>
</file>

<file path=docProps/custom.xml><?xml version="1.0" encoding="utf-8"?>
<Properties xmlns="http://schemas.openxmlformats.org/officeDocument/2006/custom-properties" xmlns:vt="http://schemas.openxmlformats.org/officeDocument/2006/docPropsVTypes"/>
</file>